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BBD3A" w14:textId="77777777" w:rsidR="00E7597B" w:rsidRPr="00871C2C" w:rsidRDefault="00E7597B" w:rsidP="00C7759B">
      <w:pPr>
        <w:bidi w:val="0"/>
        <w:spacing w:after="120" w:line="360" w:lineRule="exact"/>
        <w:jc w:val="center"/>
        <w:rPr>
          <w:rFonts w:eastAsia="Times New Roman"/>
          <w:b/>
          <w:bCs/>
          <w:sz w:val="32"/>
          <w:szCs w:val="32"/>
          <w:lang w:eastAsia="he-IL"/>
        </w:rPr>
      </w:pPr>
      <w:r w:rsidRPr="00871C2C">
        <w:rPr>
          <w:rFonts w:eastAsia="Times New Roman"/>
          <w:b/>
          <w:bCs/>
          <w:sz w:val="32"/>
          <w:szCs w:val="32"/>
          <w:rtl/>
          <w:lang w:eastAsia="he-IL"/>
        </w:rPr>
        <w:t>רשות ההגבלים העסקיים</w:t>
      </w:r>
    </w:p>
    <w:p w14:paraId="7CD7424B" w14:textId="59DD8825" w:rsidR="00E7597B" w:rsidRPr="00C26DF4" w:rsidRDefault="00E7597B" w:rsidP="00C26DF4">
      <w:pPr>
        <w:pStyle w:val="Title"/>
        <w:jc w:val="center"/>
        <w:rPr>
          <w:rFonts w:eastAsia="Times New Roman" w:cs="David"/>
          <w:b/>
          <w:bCs/>
          <w:sz w:val="32"/>
          <w:szCs w:val="32"/>
          <w:rtl/>
          <w:lang w:eastAsia="he-IL"/>
        </w:rPr>
      </w:pPr>
      <w:r w:rsidRPr="00C26DF4">
        <w:rPr>
          <w:rFonts w:eastAsia="Times New Roman" w:cs="David"/>
          <w:b/>
          <w:bCs/>
          <w:sz w:val="32"/>
          <w:szCs w:val="32"/>
          <w:rtl/>
          <w:lang w:eastAsia="he-IL"/>
        </w:rPr>
        <w:t xml:space="preserve">גילוי דעת </w:t>
      </w:r>
      <w:r w:rsidR="00535CD3" w:rsidRPr="00C26DF4">
        <w:rPr>
          <w:rFonts w:eastAsia="Times New Roman" w:cs="David" w:hint="cs"/>
          <w:b/>
          <w:bCs/>
          <w:sz w:val="32"/>
          <w:szCs w:val="32"/>
          <w:rtl/>
          <w:lang w:eastAsia="he-IL"/>
        </w:rPr>
        <w:t>2/17</w:t>
      </w:r>
    </w:p>
    <w:p w14:paraId="69172A7C" w14:textId="77777777" w:rsidR="00E7597B" w:rsidRPr="00C26DF4" w:rsidRDefault="00E7597B" w:rsidP="00C26DF4">
      <w:pPr>
        <w:pStyle w:val="Title"/>
        <w:jc w:val="center"/>
        <w:rPr>
          <w:rFonts w:eastAsia="Times New Roman" w:cs="David"/>
          <w:b/>
          <w:bCs/>
          <w:sz w:val="32"/>
          <w:szCs w:val="32"/>
          <w:u w:val="single"/>
          <w:rtl/>
          <w:lang w:eastAsia="he-IL"/>
        </w:rPr>
      </w:pPr>
      <w:r w:rsidRPr="00C26DF4">
        <w:rPr>
          <w:rFonts w:eastAsia="Times New Roman" w:cs="David"/>
          <w:b/>
          <w:bCs/>
          <w:sz w:val="32"/>
          <w:szCs w:val="32"/>
          <w:u w:val="single"/>
          <w:rtl/>
          <w:lang w:eastAsia="he-IL"/>
        </w:rPr>
        <w:t xml:space="preserve">בעניין </w:t>
      </w:r>
      <w:r w:rsidR="002F4D75" w:rsidRPr="00C26DF4">
        <w:rPr>
          <w:rFonts w:eastAsia="Times New Roman" w:cs="David"/>
          <w:b/>
          <w:bCs/>
          <w:sz w:val="32"/>
          <w:szCs w:val="32"/>
          <w:u w:val="single"/>
          <w:rtl/>
          <w:lang w:eastAsia="he-IL"/>
        </w:rPr>
        <w:t>הסדרי הכתב</w:t>
      </w:r>
      <w:r w:rsidRPr="00C26DF4">
        <w:rPr>
          <w:rFonts w:eastAsia="Times New Roman" w:cs="David"/>
          <w:b/>
          <w:bCs/>
          <w:sz w:val="32"/>
          <w:szCs w:val="32"/>
          <w:u w:val="single"/>
          <w:rtl/>
          <w:lang w:eastAsia="he-IL"/>
        </w:rPr>
        <w:t>ת מחיר אנכית</w:t>
      </w:r>
      <w:r w:rsidR="0034543F" w:rsidRPr="00C26DF4">
        <w:rPr>
          <w:rFonts w:eastAsia="Times New Roman" w:cs="David" w:hint="cs"/>
          <w:b/>
          <w:bCs/>
          <w:sz w:val="32"/>
          <w:szCs w:val="32"/>
          <w:u w:val="single"/>
          <w:rtl/>
          <w:lang w:eastAsia="he-IL"/>
        </w:rPr>
        <w:t xml:space="preserve"> (</w:t>
      </w:r>
      <w:r w:rsidR="0034543F" w:rsidRPr="00C26DF4">
        <w:rPr>
          <w:rFonts w:eastAsia="Times New Roman" w:cs="David"/>
          <w:b/>
          <w:bCs/>
          <w:sz w:val="32"/>
          <w:szCs w:val="32"/>
          <w:u w:val="single"/>
          <w:lang w:eastAsia="he-IL"/>
        </w:rPr>
        <w:t>RPM</w:t>
      </w:r>
      <w:r w:rsidR="0034543F" w:rsidRPr="00C26DF4">
        <w:rPr>
          <w:rFonts w:eastAsia="Times New Roman" w:cs="David" w:hint="cs"/>
          <w:b/>
          <w:bCs/>
          <w:sz w:val="32"/>
          <w:szCs w:val="32"/>
          <w:u w:val="single"/>
          <w:rtl/>
          <w:lang w:eastAsia="he-IL"/>
        </w:rPr>
        <w:t>)</w:t>
      </w:r>
    </w:p>
    <w:p w14:paraId="38C5BEF9" w14:textId="77777777" w:rsidR="00E7597B" w:rsidRPr="00871C2C" w:rsidRDefault="00E7597B" w:rsidP="00C26DF4">
      <w:pPr>
        <w:pStyle w:val="Heading1"/>
        <w:rPr>
          <w:rFonts w:eastAsia="Times New Roman"/>
          <w:lang w:eastAsia="he-IL"/>
        </w:rPr>
      </w:pPr>
      <w:r w:rsidRPr="00871C2C">
        <w:rPr>
          <w:rFonts w:eastAsia="Times New Roman"/>
          <w:rtl/>
          <w:lang w:eastAsia="he-IL"/>
        </w:rPr>
        <w:t>פתח דבר</w:t>
      </w:r>
    </w:p>
    <w:p w14:paraId="1F1AC666" w14:textId="2EC7440C" w:rsidR="00DE4CB7" w:rsidRPr="00871C2C" w:rsidRDefault="00E7597B" w:rsidP="00E24F02">
      <w:pPr>
        <w:tabs>
          <w:tab w:val="left" w:pos="374"/>
        </w:tabs>
        <w:spacing w:before="120" w:after="120" w:line="360" w:lineRule="exact"/>
        <w:jc w:val="both"/>
        <w:rPr>
          <w:rFonts w:eastAsia="Times New Roman"/>
          <w:rtl/>
          <w:lang w:eastAsia="he-IL"/>
        </w:rPr>
      </w:pPr>
      <w:r w:rsidRPr="00871C2C">
        <w:rPr>
          <w:rFonts w:eastAsia="Times New Roman"/>
          <w:rtl/>
          <w:lang w:eastAsia="he-IL"/>
        </w:rPr>
        <w:t xml:space="preserve">עניינו של גילוי דעת זה </w:t>
      </w:r>
      <w:r w:rsidR="000D08B2" w:rsidRPr="00871C2C">
        <w:rPr>
          <w:rFonts w:eastAsia="Times New Roman" w:hint="cs"/>
          <w:rtl/>
          <w:lang w:eastAsia="he-IL"/>
        </w:rPr>
        <w:t>ב</w:t>
      </w:r>
      <w:r w:rsidR="00577623" w:rsidRPr="00871C2C">
        <w:rPr>
          <w:rFonts w:eastAsia="Times New Roman" w:hint="cs"/>
          <w:rtl/>
          <w:lang w:eastAsia="he-IL"/>
        </w:rPr>
        <w:t xml:space="preserve">הסדרי </w:t>
      </w:r>
      <w:r w:rsidR="002F4D75" w:rsidRPr="00871C2C">
        <w:rPr>
          <w:rFonts w:eastAsia="Times New Roman"/>
          <w:rtl/>
          <w:lang w:eastAsia="he-IL"/>
        </w:rPr>
        <w:t>הכתבת מחיר אנכי</w:t>
      </w:r>
      <w:r w:rsidR="00577623" w:rsidRPr="00871C2C">
        <w:rPr>
          <w:rFonts w:eastAsia="Times New Roman" w:hint="cs"/>
          <w:rtl/>
          <w:lang w:eastAsia="he-IL"/>
        </w:rPr>
        <w:t>ת</w:t>
      </w:r>
      <w:r w:rsidR="002F4D75" w:rsidRPr="00871C2C">
        <w:rPr>
          <w:rFonts w:eastAsia="Times New Roman"/>
          <w:rtl/>
          <w:lang w:eastAsia="he-IL"/>
        </w:rPr>
        <w:t xml:space="preserve">, דהיינו </w:t>
      </w:r>
      <w:r w:rsidR="00A04DF6" w:rsidRPr="00871C2C">
        <w:rPr>
          <w:rFonts w:eastAsia="Times New Roman"/>
          <w:rtl/>
          <w:lang w:eastAsia="he-IL"/>
        </w:rPr>
        <w:t>הסדרים ש</w:t>
      </w:r>
      <w:r w:rsidR="0034543F" w:rsidRPr="00871C2C">
        <w:rPr>
          <w:rFonts w:eastAsia="Times New Roman" w:hint="cs"/>
          <w:rtl/>
          <w:lang w:eastAsia="he-IL"/>
        </w:rPr>
        <w:t xml:space="preserve">בהם גורם אחד בשרשרת האספקה </w:t>
      </w:r>
      <w:r w:rsidR="005563A3" w:rsidRPr="00871C2C">
        <w:rPr>
          <w:rFonts w:eastAsia="Times New Roman" w:hint="cs"/>
          <w:rtl/>
          <w:lang w:eastAsia="he-IL"/>
        </w:rPr>
        <w:t xml:space="preserve">של טובין </w:t>
      </w:r>
      <w:r w:rsidR="0034543F" w:rsidRPr="00871C2C">
        <w:rPr>
          <w:rFonts w:eastAsia="Times New Roman" w:hint="cs"/>
          <w:rtl/>
          <w:lang w:eastAsia="he-IL"/>
        </w:rPr>
        <w:t xml:space="preserve">מכתיב לגורם </w:t>
      </w:r>
      <w:r w:rsidR="00A04DF6" w:rsidRPr="00871C2C">
        <w:rPr>
          <w:rFonts w:eastAsia="Times New Roman"/>
          <w:rtl/>
          <w:lang w:eastAsia="he-IL"/>
        </w:rPr>
        <w:t>הנמצא</w:t>
      </w:r>
      <w:r w:rsidR="006603D3" w:rsidRPr="00871C2C">
        <w:rPr>
          <w:rFonts w:eastAsia="Times New Roman"/>
          <w:rtl/>
          <w:lang w:eastAsia="he-IL"/>
        </w:rPr>
        <w:t xml:space="preserve"> בשלב עוקב </w:t>
      </w:r>
      <w:r w:rsidR="00A04DF6" w:rsidRPr="00871C2C">
        <w:rPr>
          <w:rFonts w:eastAsia="Times New Roman"/>
          <w:rtl/>
          <w:lang w:eastAsia="he-IL"/>
        </w:rPr>
        <w:t xml:space="preserve">בשרשרת האספקה </w:t>
      </w:r>
      <w:r w:rsidR="0034543F" w:rsidRPr="00871C2C">
        <w:rPr>
          <w:rFonts w:eastAsia="Times New Roman" w:hint="cs"/>
          <w:rtl/>
          <w:lang w:eastAsia="he-IL"/>
        </w:rPr>
        <w:t xml:space="preserve">את המחיר </w:t>
      </w:r>
      <w:r w:rsidR="00A04DF6" w:rsidRPr="00871C2C">
        <w:rPr>
          <w:rFonts w:eastAsia="Times New Roman"/>
          <w:rtl/>
          <w:lang w:eastAsia="he-IL"/>
        </w:rPr>
        <w:t xml:space="preserve">שבו </w:t>
      </w:r>
      <w:r w:rsidR="00731FD7" w:rsidRPr="00871C2C">
        <w:rPr>
          <w:rFonts w:eastAsia="Times New Roman" w:hint="cs"/>
          <w:rtl/>
          <w:lang w:eastAsia="he-IL"/>
        </w:rPr>
        <w:t>יציע השני</w:t>
      </w:r>
      <w:r w:rsidR="005563A3" w:rsidRPr="00871C2C">
        <w:rPr>
          <w:rFonts w:eastAsia="Times New Roman" w:hint="cs"/>
          <w:rtl/>
          <w:lang w:eastAsia="he-IL"/>
        </w:rPr>
        <w:t xml:space="preserve"> את</w:t>
      </w:r>
      <w:r w:rsidR="00731FD7" w:rsidRPr="00871C2C">
        <w:rPr>
          <w:rFonts w:eastAsia="Times New Roman" w:hint="cs"/>
          <w:rtl/>
          <w:lang w:eastAsia="he-IL"/>
        </w:rPr>
        <w:t xml:space="preserve"> </w:t>
      </w:r>
      <w:r w:rsidR="005563A3" w:rsidRPr="00871C2C">
        <w:rPr>
          <w:rFonts w:eastAsia="Times New Roman" w:hint="cs"/>
          <w:rtl/>
          <w:lang w:eastAsia="he-IL"/>
        </w:rPr>
        <w:t>ה</w:t>
      </w:r>
      <w:r w:rsidR="0034543F" w:rsidRPr="00871C2C">
        <w:rPr>
          <w:rFonts w:eastAsia="Times New Roman" w:hint="cs"/>
          <w:rtl/>
          <w:lang w:eastAsia="he-IL"/>
        </w:rPr>
        <w:t>טובין</w:t>
      </w:r>
      <w:r w:rsidR="00A04DF6" w:rsidRPr="00871C2C">
        <w:rPr>
          <w:rFonts w:eastAsia="Times New Roman"/>
          <w:rtl/>
          <w:lang w:eastAsia="he-IL"/>
        </w:rPr>
        <w:t>. הסדרים אלה, הנודעים כהסדרי "</w:t>
      </w:r>
      <w:r w:rsidR="00A04DF6" w:rsidRPr="00871C2C">
        <w:rPr>
          <w:rFonts w:eastAsia="Times New Roman"/>
          <w:lang w:eastAsia="he-IL"/>
        </w:rPr>
        <w:t>Resale Price Maintenance</w:t>
      </w:r>
      <w:r w:rsidR="00A04DF6" w:rsidRPr="00871C2C">
        <w:rPr>
          <w:rFonts w:eastAsia="Times New Roman"/>
          <w:rtl/>
          <w:lang w:eastAsia="he-IL"/>
        </w:rPr>
        <w:t>" או "</w:t>
      </w:r>
      <w:r w:rsidR="00A04DF6" w:rsidRPr="00871C2C">
        <w:rPr>
          <w:rFonts w:eastAsia="Times New Roman"/>
          <w:lang w:eastAsia="he-IL"/>
        </w:rPr>
        <w:t>RPM</w:t>
      </w:r>
      <w:r w:rsidR="00A04DF6" w:rsidRPr="00871C2C">
        <w:rPr>
          <w:rFonts w:eastAsia="Times New Roman"/>
          <w:rtl/>
          <w:lang w:eastAsia="he-IL"/>
        </w:rPr>
        <w:t>"</w:t>
      </w:r>
      <w:r w:rsidR="003A2706" w:rsidRPr="00871C2C">
        <w:rPr>
          <w:rFonts w:eastAsia="Times New Roman"/>
          <w:rtl/>
          <w:lang w:eastAsia="he-IL"/>
        </w:rPr>
        <w:t xml:space="preserve">, </w:t>
      </w:r>
      <w:r w:rsidR="00A04DF6" w:rsidRPr="00871C2C">
        <w:rPr>
          <w:rFonts w:eastAsia="Times New Roman"/>
          <w:rtl/>
          <w:lang w:eastAsia="he-IL"/>
        </w:rPr>
        <w:t>יכול שיקבעו רמת מחיר מזערית שב</w:t>
      </w:r>
      <w:r w:rsidR="00E24F02" w:rsidRPr="00871C2C">
        <w:rPr>
          <w:rFonts w:eastAsia="Times New Roman" w:hint="cs"/>
          <w:rtl/>
          <w:lang w:eastAsia="he-IL"/>
        </w:rPr>
        <w:t>ה</w:t>
      </w:r>
      <w:r w:rsidR="00A04DF6" w:rsidRPr="00871C2C">
        <w:rPr>
          <w:rFonts w:eastAsia="Times New Roman"/>
          <w:rtl/>
          <w:lang w:eastAsia="he-IL"/>
        </w:rPr>
        <w:t xml:space="preserve"> מותר להציע את הטובין ("</w:t>
      </w:r>
      <w:r w:rsidR="00A04DF6" w:rsidRPr="00871C2C">
        <w:rPr>
          <w:rFonts w:eastAsia="Times New Roman"/>
          <w:lang w:eastAsia="he-IL"/>
        </w:rPr>
        <w:t>RPM Minimum</w:t>
      </w:r>
      <w:r w:rsidR="00A04DF6" w:rsidRPr="00871C2C">
        <w:rPr>
          <w:rFonts w:eastAsia="Times New Roman"/>
          <w:rtl/>
          <w:lang w:eastAsia="he-IL"/>
        </w:rPr>
        <w:t>"), רמת מחיר מירבית ("</w:t>
      </w:r>
      <w:r w:rsidR="00A04DF6" w:rsidRPr="00871C2C">
        <w:rPr>
          <w:rFonts w:eastAsia="Times New Roman"/>
          <w:lang w:eastAsia="he-IL"/>
        </w:rPr>
        <w:t>RPM Maximum</w:t>
      </w:r>
      <w:r w:rsidR="00A04DF6" w:rsidRPr="00871C2C">
        <w:rPr>
          <w:rFonts w:eastAsia="Times New Roman"/>
          <w:rtl/>
          <w:lang w:eastAsia="he-IL"/>
        </w:rPr>
        <w:t xml:space="preserve">") או רמת מחיר </w:t>
      </w:r>
      <w:r w:rsidR="000D08B2" w:rsidRPr="00871C2C">
        <w:rPr>
          <w:rFonts w:eastAsia="Times New Roman" w:hint="cs"/>
          <w:rtl/>
          <w:lang w:eastAsia="he-IL"/>
        </w:rPr>
        <w:t>קבועה</w:t>
      </w:r>
      <w:r w:rsidR="000D08B2" w:rsidRPr="00871C2C">
        <w:rPr>
          <w:rFonts w:eastAsia="Times New Roman"/>
          <w:rtl/>
          <w:lang w:eastAsia="he-IL"/>
        </w:rPr>
        <w:t xml:space="preserve"> </w:t>
      </w:r>
      <w:r w:rsidR="00A04DF6" w:rsidRPr="00871C2C">
        <w:rPr>
          <w:rFonts w:eastAsia="Times New Roman"/>
          <w:rtl/>
          <w:lang w:eastAsia="he-IL"/>
        </w:rPr>
        <w:t>("</w:t>
      </w:r>
      <w:r w:rsidR="00A04DF6" w:rsidRPr="00871C2C">
        <w:rPr>
          <w:rFonts w:eastAsia="Times New Roman"/>
          <w:lang w:eastAsia="he-IL"/>
        </w:rPr>
        <w:t>RPM Fixed</w:t>
      </w:r>
      <w:r w:rsidR="00A04DF6" w:rsidRPr="00871C2C">
        <w:rPr>
          <w:rFonts w:eastAsia="Times New Roman"/>
          <w:rtl/>
          <w:lang w:eastAsia="he-IL"/>
        </w:rPr>
        <w:t>").</w:t>
      </w:r>
      <w:r w:rsidR="006603D3" w:rsidRPr="00871C2C">
        <w:rPr>
          <w:rFonts w:eastAsia="Times New Roman"/>
          <w:rtl/>
          <w:lang w:eastAsia="he-IL"/>
        </w:rPr>
        <w:t xml:space="preserve"> </w:t>
      </w:r>
    </w:p>
    <w:p w14:paraId="5E992228" w14:textId="1B50B6BE" w:rsidR="00D13D9C" w:rsidRPr="00871C2C" w:rsidRDefault="00014270" w:rsidP="00C46E13">
      <w:pPr>
        <w:tabs>
          <w:tab w:val="left" w:pos="374"/>
        </w:tabs>
        <w:spacing w:before="120" w:after="120" w:line="360" w:lineRule="exact"/>
        <w:jc w:val="both"/>
        <w:rPr>
          <w:rFonts w:eastAsia="Times New Roman"/>
          <w:rtl/>
          <w:lang w:eastAsia="he-IL"/>
        </w:rPr>
      </w:pPr>
      <w:r w:rsidRPr="00871C2C">
        <w:rPr>
          <w:rFonts w:eastAsia="Times New Roman" w:hint="cs"/>
          <w:rtl/>
          <w:lang w:eastAsia="he-IL"/>
        </w:rPr>
        <w:t>מאחר ש</w:t>
      </w:r>
      <w:r w:rsidR="00D13D9C" w:rsidRPr="00871C2C">
        <w:rPr>
          <w:rFonts w:eastAsia="Times New Roman" w:hint="cs"/>
          <w:rtl/>
          <w:lang w:eastAsia="he-IL"/>
        </w:rPr>
        <w:t xml:space="preserve">ככלל אין הבדל של ממש בין הסדרי </w:t>
      </w:r>
      <w:r w:rsidR="00D13D9C" w:rsidRPr="00871C2C">
        <w:rPr>
          <w:rFonts w:eastAsia="Times New Roman"/>
          <w:lang w:eastAsia="he-IL"/>
        </w:rPr>
        <w:t>RPM Minimum</w:t>
      </w:r>
      <w:r w:rsidR="00D13D9C" w:rsidRPr="00871C2C">
        <w:rPr>
          <w:rFonts w:eastAsia="Times New Roman" w:hint="cs"/>
          <w:rtl/>
          <w:lang w:eastAsia="he-IL"/>
        </w:rPr>
        <w:t xml:space="preserve"> והסדרי </w:t>
      </w:r>
      <w:r w:rsidR="00D13D9C" w:rsidRPr="00871C2C">
        <w:rPr>
          <w:rFonts w:eastAsia="Times New Roman"/>
          <w:lang w:eastAsia="he-IL"/>
        </w:rPr>
        <w:t>RPM Fixed</w:t>
      </w:r>
      <w:r w:rsidR="00D13D9C" w:rsidRPr="00871C2C">
        <w:rPr>
          <w:rFonts w:eastAsia="Times New Roman" w:hint="cs"/>
          <w:rtl/>
          <w:lang w:eastAsia="he-IL"/>
        </w:rPr>
        <w:t xml:space="preserve">, מבחינת השפעותיהם </w:t>
      </w:r>
      <w:r w:rsidR="00D24403" w:rsidRPr="00871C2C">
        <w:rPr>
          <w:rFonts w:eastAsia="Times New Roman" w:hint="cs"/>
          <w:rtl/>
          <w:lang w:eastAsia="he-IL"/>
        </w:rPr>
        <w:t xml:space="preserve">הצפויות </w:t>
      </w:r>
      <w:r w:rsidR="00D13D9C" w:rsidRPr="00871C2C">
        <w:rPr>
          <w:rFonts w:eastAsia="Times New Roman" w:hint="cs"/>
          <w:rtl/>
          <w:lang w:eastAsia="he-IL"/>
        </w:rPr>
        <w:t>על התחרות</w:t>
      </w:r>
      <w:r w:rsidRPr="00871C2C">
        <w:rPr>
          <w:rFonts w:eastAsia="Times New Roman" w:hint="cs"/>
          <w:rtl/>
          <w:lang w:eastAsia="he-IL"/>
        </w:rPr>
        <w:t xml:space="preserve">, </w:t>
      </w:r>
      <w:r w:rsidR="00D13D9C" w:rsidRPr="00871C2C">
        <w:rPr>
          <w:rFonts w:eastAsia="Times New Roman" w:hint="cs"/>
          <w:rtl/>
          <w:lang w:eastAsia="he-IL"/>
        </w:rPr>
        <w:t>גילוי דעת זה יתייחס לשני סוגי הסדרים אלה כאחד</w:t>
      </w:r>
      <w:r w:rsidRPr="00871C2C">
        <w:rPr>
          <w:rFonts w:eastAsia="Times New Roman" w:hint="cs"/>
          <w:rtl/>
          <w:lang w:eastAsia="he-IL"/>
        </w:rPr>
        <w:t>;</w:t>
      </w:r>
      <w:r w:rsidR="00D13D9C" w:rsidRPr="00871C2C">
        <w:rPr>
          <w:rFonts w:eastAsia="Times New Roman" w:hint="cs"/>
          <w:rtl/>
          <w:lang w:eastAsia="he-IL"/>
        </w:rPr>
        <w:t xml:space="preserve"> הכוונה במונח "הסדר</w:t>
      </w:r>
      <w:r w:rsidR="0065677F" w:rsidRPr="00871C2C">
        <w:rPr>
          <w:rFonts w:eastAsia="Times New Roman" w:hint="cs"/>
          <w:rtl/>
          <w:lang w:eastAsia="he-IL"/>
        </w:rPr>
        <w:t>י</w:t>
      </w:r>
      <w:r w:rsidR="00D13D9C" w:rsidRPr="00871C2C">
        <w:rPr>
          <w:rFonts w:eastAsia="Times New Roman" w:hint="cs"/>
          <w:rtl/>
          <w:lang w:eastAsia="he-IL"/>
        </w:rPr>
        <w:t xml:space="preserve"> </w:t>
      </w:r>
      <w:r w:rsidR="00D13D9C" w:rsidRPr="00871C2C">
        <w:rPr>
          <w:rFonts w:eastAsia="Times New Roman"/>
          <w:lang w:eastAsia="he-IL"/>
        </w:rPr>
        <w:t>RPM</w:t>
      </w:r>
      <w:r w:rsidRPr="00871C2C">
        <w:rPr>
          <w:rFonts w:eastAsia="Times New Roman" w:hint="cs"/>
          <w:rtl/>
          <w:lang w:eastAsia="he-IL"/>
        </w:rPr>
        <w:t>" להלן תהיה להסדרים אלה</w:t>
      </w:r>
      <w:r w:rsidR="00D13D9C" w:rsidRPr="00871C2C">
        <w:rPr>
          <w:rFonts w:eastAsia="Times New Roman" w:hint="cs"/>
          <w:rtl/>
          <w:lang w:eastAsia="he-IL"/>
        </w:rPr>
        <w:t xml:space="preserve">. </w:t>
      </w:r>
      <w:r w:rsidR="00684BEE" w:rsidRPr="00871C2C">
        <w:rPr>
          <w:rFonts w:eastAsia="Times New Roman" w:hint="cs"/>
          <w:rtl/>
          <w:lang w:eastAsia="he-IL"/>
        </w:rPr>
        <w:t xml:space="preserve">בשולי הדברים </w:t>
      </w:r>
      <w:r w:rsidRPr="00871C2C">
        <w:rPr>
          <w:rFonts w:eastAsia="Times New Roman" w:hint="cs"/>
          <w:rtl/>
          <w:lang w:eastAsia="he-IL"/>
        </w:rPr>
        <w:t xml:space="preserve">נתייחס </w:t>
      </w:r>
      <w:r w:rsidR="00C46E13" w:rsidRPr="00871C2C">
        <w:rPr>
          <w:rFonts w:eastAsia="Times New Roman" w:hint="cs"/>
          <w:rtl/>
          <w:lang w:eastAsia="he-IL"/>
        </w:rPr>
        <w:t xml:space="preserve">להמלצות מחיר שאינן בגדר הכתבת מחיר. כן נתייחס </w:t>
      </w:r>
      <w:r w:rsidRPr="00871C2C">
        <w:rPr>
          <w:rFonts w:eastAsia="Times New Roman" w:hint="cs"/>
          <w:rtl/>
          <w:lang w:eastAsia="he-IL"/>
        </w:rPr>
        <w:t>בקצרה להסדרי</w:t>
      </w:r>
      <w:r w:rsidR="00CD407F" w:rsidRPr="00871C2C">
        <w:rPr>
          <w:rFonts w:eastAsia="Times New Roman" w:hint="cs"/>
          <w:rtl/>
          <w:lang w:eastAsia="he-IL"/>
        </w:rPr>
        <w:t xml:space="preserve"> </w:t>
      </w:r>
      <w:r w:rsidR="00D13D9C" w:rsidRPr="00871C2C">
        <w:rPr>
          <w:rFonts w:eastAsia="Times New Roman"/>
          <w:lang w:eastAsia="he-IL"/>
        </w:rPr>
        <w:t>RPM Maximum</w:t>
      </w:r>
      <w:r w:rsidR="00D13D9C" w:rsidRPr="00871C2C">
        <w:rPr>
          <w:rFonts w:eastAsia="Times New Roman" w:hint="cs"/>
          <w:rtl/>
          <w:lang w:eastAsia="he-IL"/>
        </w:rPr>
        <w:t xml:space="preserve">, אשר לרוב אינם מעוררים את החששות לפגיעה בתחרות שעלולים להתעורר כתוצאה מהסדרי </w:t>
      </w:r>
      <w:r w:rsidR="00D13D9C" w:rsidRPr="00871C2C">
        <w:rPr>
          <w:rFonts w:eastAsia="Times New Roman"/>
          <w:lang w:eastAsia="he-IL"/>
        </w:rPr>
        <w:t>RPM</w:t>
      </w:r>
      <w:r w:rsidR="00D13D9C" w:rsidRPr="00871C2C">
        <w:rPr>
          <w:rFonts w:eastAsia="Times New Roman" w:hint="cs"/>
          <w:rtl/>
          <w:lang w:eastAsia="he-IL"/>
        </w:rPr>
        <w:t xml:space="preserve"> מהסוגים האחרים</w:t>
      </w:r>
      <w:r w:rsidR="00306152" w:rsidRPr="00871C2C">
        <w:rPr>
          <w:rFonts w:eastAsia="Times New Roman" w:hint="cs"/>
          <w:rtl/>
          <w:lang w:eastAsia="he-IL"/>
        </w:rPr>
        <w:t xml:space="preserve">. </w:t>
      </w:r>
    </w:p>
    <w:p w14:paraId="6CB7035E" w14:textId="121F1E24" w:rsidR="00684BEE" w:rsidRPr="00871C2C" w:rsidRDefault="007E79B7" w:rsidP="001C7442">
      <w:pPr>
        <w:tabs>
          <w:tab w:val="left" w:pos="374"/>
        </w:tabs>
        <w:spacing w:before="120" w:after="120" w:line="360" w:lineRule="exact"/>
        <w:jc w:val="both"/>
        <w:rPr>
          <w:rFonts w:eastAsia="Times New Roman"/>
          <w:rtl/>
          <w:lang w:eastAsia="he-IL"/>
        </w:rPr>
      </w:pPr>
      <w:r w:rsidRPr="00871C2C">
        <w:rPr>
          <w:rFonts w:eastAsia="Times New Roman" w:hint="cs"/>
          <w:rtl/>
          <w:lang w:eastAsia="he-IL"/>
        </w:rPr>
        <w:t>הצורך בפרסום גילוי הדעת התחדד על רקע פסק דינו של בית המשפט העליון בפרשת שופרסל,</w:t>
      </w:r>
      <w:r w:rsidRPr="00871C2C">
        <w:rPr>
          <w:rStyle w:val="FootnoteReference"/>
          <w:rFonts w:eastAsia="Times New Roman"/>
          <w:rtl/>
          <w:lang w:eastAsia="he-IL"/>
        </w:rPr>
        <w:footnoteReference w:id="1"/>
      </w:r>
      <w:r w:rsidRPr="00871C2C">
        <w:rPr>
          <w:rFonts w:eastAsia="Times New Roman" w:hint="cs"/>
          <w:rtl/>
          <w:lang w:eastAsia="he-IL"/>
        </w:rPr>
        <w:t xml:space="preserve"> לפיו הסדרים אנכיים</w:t>
      </w:r>
      <w:r w:rsidR="00A836DA" w:rsidRPr="00871C2C">
        <w:rPr>
          <w:rFonts w:eastAsia="Times New Roman" w:hint="cs"/>
          <w:rtl/>
          <w:lang w:eastAsia="he-IL"/>
        </w:rPr>
        <w:t xml:space="preserve"> ככלל</w:t>
      </w:r>
      <w:r w:rsidRPr="00871C2C">
        <w:rPr>
          <w:rFonts w:eastAsia="Times New Roman" w:hint="cs"/>
          <w:rtl/>
          <w:lang w:eastAsia="he-IL"/>
        </w:rPr>
        <w:t xml:space="preserve"> אינם </w:t>
      </w:r>
      <w:r w:rsidR="00491311" w:rsidRPr="00871C2C">
        <w:rPr>
          <w:rFonts w:eastAsia="Times New Roman" w:hint="cs"/>
          <w:rtl/>
          <w:lang w:eastAsia="he-IL"/>
        </w:rPr>
        <w:t>נתפסים ב</w:t>
      </w:r>
      <w:r w:rsidRPr="00871C2C">
        <w:rPr>
          <w:rFonts w:eastAsia="Times New Roman" w:hint="cs"/>
          <w:rtl/>
          <w:lang w:eastAsia="he-IL"/>
        </w:rPr>
        <w:t>חזקות החלוטות של סעיף 2(ב) לחוק ההגבלים העסקיים, התשמ"ח</w:t>
      </w:r>
      <w:r w:rsidR="00684BEE" w:rsidRPr="00871C2C">
        <w:rPr>
          <w:rFonts w:eastAsia="Times New Roman" w:hint="cs"/>
          <w:rtl/>
          <w:lang w:eastAsia="he-IL"/>
        </w:rPr>
        <w:t>-</w:t>
      </w:r>
      <w:r w:rsidRPr="00871C2C">
        <w:rPr>
          <w:rFonts w:eastAsia="Times New Roman" w:hint="cs"/>
          <w:rtl/>
          <w:lang w:eastAsia="he-IL"/>
        </w:rPr>
        <w:t>1988 (להלן: "</w:t>
      </w:r>
      <w:r w:rsidRPr="00871C2C">
        <w:rPr>
          <w:rFonts w:eastAsia="Times New Roman" w:hint="cs"/>
          <w:b/>
          <w:bCs/>
          <w:rtl/>
          <w:lang w:eastAsia="he-IL"/>
        </w:rPr>
        <w:t>החוק</w:t>
      </w:r>
      <w:r w:rsidRPr="00871C2C">
        <w:rPr>
          <w:rFonts w:eastAsia="Times New Roman" w:hint="cs"/>
          <w:rtl/>
          <w:lang w:eastAsia="he-IL"/>
        </w:rPr>
        <w:t>").</w:t>
      </w:r>
      <w:r w:rsidR="009D4FE4" w:rsidRPr="00871C2C">
        <w:rPr>
          <w:rFonts w:eastAsia="Times New Roman" w:hint="cs"/>
          <w:rtl/>
          <w:lang w:eastAsia="he-IL"/>
        </w:rPr>
        <w:t xml:space="preserve"> </w:t>
      </w:r>
      <w:r w:rsidRPr="00871C2C">
        <w:rPr>
          <w:rFonts w:eastAsia="Times New Roman" w:hint="cs"/>
          <w:rtl/>
          <w:lang w:eastAsia="he-IL"/>
        </w:rPr>
        <w:t xml:space="preserve">עד לפסק דינו של בית המשפט העליון בפרשת שופרסל הפרשנות </w:t>
      </w:r>
      <w:r w:rsidR="001C7442" w:rsidRPr="00871C2C">
        <w:rPr>
          <w:rFonts w:eastAsia="Times New Roman" w:hint="cs"/>
          <w:rtl/>
          <w:lang w:eastAsia="he-IL"/>
        </w:rPr>
        <w:t>המקובלת ה</w:t>
      </w:r>
      <w:r w:rsidR="008643E7" w:rsidRPr="00871C2C">
        <w:rPr>
          <w:rFonts w:eastAsia="Times New Roman" w:hint="cs"/>
          <w:rtl/>
          <w:lang w:eastAsia="he-IL"/>
        </w:rPr>
        <w:t>י</w:t>
      </w:r>
      <w:r w:rsidR="001C7442" w:rsidRPr="00871C2C">
        <w:rPr>
          <w:rFonts w:eastAsia="Times New Roman" w:hint="cs"/>
          <w:rtl/>
          <w:lang w:eastAsia="he-IL"/>
        </w:rPr>
        <w:t>יתה</w:t>
      </w:r>
      <w:r w:rsidR="006C46C1" w:rsidRPr="00871C2C">
        <w:rPr>
          <w:rFonts w:eastAsia="Times New Roman" w:hint="cs"/>
          <w:rtl/>
          <w:lang w:eastAsia="he-IL"/>
        </w:rPr>
        <w:t xml:space="preserve"> </w:t>
      </w:r>
      <w:r w:rsidR="001C7442" w:rsidRPr="00871C2C">
        <w:rPr>
          <w:rFonts w:eastAsia="Times New Roman" w:hint="cs"/>
          <w:rtl/>
          <w:lang w:eastAsia="he-IL"/>
        </w:rPr>
        <w:t>ש</w:t>
      </w:r>
      <w:r w:rsidRPr="00871C2C">
        <w:rPr>
          <w:rFonts w:eastAsia="Times New Roman" w:hint="cs"/>
          <w:rtl/>
          <w:lang w:eastAsia="he-IL"/>
        </w:rPr>
        <w:t xml:space="preserve">הסדרי </w:t>
      </w:r>
      <w:r w:rsidRPr="00871C2C">
        <w:rPr>
          <w:rFonts w:eastAsia="Times New Roman"/>
          <w:lang w:eastAsia="he-IL"/>
        </w:rPr>
        <w:t>RPM</w:t>
      </w:r>
      <w:r w:rsidRPr="00871C2C">
        <w:rPr>
          <w:rFonts w:eastAsia="Times New Roman" w:hint="cs"/>
          <w:rtl/>
          <w:lang w:eastAsia="he-IL"/>
        </w:rPr>
        <w:t xml:space="preserve"> </w:t>
      </w:r>
      <w:r w:rsidR="00950197" w:rsidRPr="00871C2C">
        <w:rPr>
          <w:rFonts w:eastAsia="Times New Roman" w:hint="cs"/>
          <w:rtl/>
          <w:lang w:eastAsia="he-IL"/>
        </w:rPr>
        <w:t xml:space="preserve">נלכדים </w:t>
      </w:r>
      <w:r w:rsidRPr="00871C2C">
        <w:rPr>
          <w:rFonts w:eastAsia="Times New Roman" w:hint="cs"/>
          <w:rtl/>
          <w:lang w:eastAsia="he-IL"/>
        </w:rPr>
        <w:t>בגדר החזקה החלוטה לקיומו של הסדר כובל הקבועה בסעיף 2(ב)(1) לחוק</w:t>
      </w:r>
      <w:r w:rsidR="001C7442" w:rsidRPr="00871C2C">
        <w:rPr>
          <w:rFonts w:eastAsia="Times New Roman" w:hint="cs"/>
          <w:rtl/>
          <w:lang w:eastAsia="he-IL"/>
        </w:rPr>
        <w:t>, הגם שנשמעו קולות פרשניים שחלקו על עמדה זאת</w:t>
      </w:r>
      <w:r w:rsidRPr="00871C2C">
        <w:rPr>
          <w:rFonts w:eastAsia="Times New Roman" w:hint="cs"/>
          <w:rtl/>
          <w:lang w:eastAsia="he-IL"/>
        </w:rPr>
        <w:t>. יתר על כן, גם כללי ההגבלים העסקיים (פטור סוג להסדרים שאינם אופקיים ואין בהם כבילות מחיר מסוימות), התשע"ג</w:t>
      </w:r>
      <w:r w:rsidR="0065677F" w:rsidRPr="00871C2C">
        <w:rPr>
          <w:rFonts w:eastAsia="Times New Roman" w:hint="cs"/>
          <w:rtl/>
          <w:lang w:eastAsia="he-IL"/>
        </w:rPr>
        <w:t>-</w:t>
      </w:r>
      <w:r w:rsidRPr="00871C2C">
        <w:rPr>
          <w:rFonts w:eastAsia="Times New Roman" w:hint="cs"/>
          <w:rtl/>
          <w:lang w:eastAsia="he-IL"/>
        </w:rPr>
        <w:t>2013 (להלן: "</w:t>
      </w:r>
      <w:r w:rsidRPr="00871C2C">
        <w:rPr>
          <w:rFonts w:eastAsia="Times New Roman" w:hint="cs"/>
          <w:b/>
          <w:bCs/>
          <w:rtl/>
          <w:lang w:eastAsia="he-IL"/>
        </w:rPr>
        <w:t>פטור הסוג להסדרים שאינם בין מתחרים</w:t>
      </w:r>
      <w:r w:rsidRPr="00871C2C">
        <w:rPr>
          <w:rFonts w:eastAsia="Times New Roman" w:hint="cs"/>
          <w:rtl/>
          <w:lang w:eastAsia="he-IL"/>
        </w:rPr>
        <w:t>")</w:t>
      </w:r>
      <w:r w:rsidR="008371F7" w:rsidRPr="00871C2C">
        <w:rPr>
          <w:rStyle w:val="FootnoteReference"/>
          <w:rFonts w:eastAsia="Times New Roman"/>
          <w:rtl/>
          <w:lang w:eastAsia="he-IL"/>
        </w:rPr>
        <w:footnoteReference w:id="2"/>
      </w:r>
      <w:r w:rsidRPr="00871C2C">
        <w:rPr>
          <w:rFonts w:eastAsia="Times New Roman" w:hint="cs"/>
          <w:rtl/>
          <w:lang w:eastAsia="he-IL"/>
        </w:rPr>
        <w:t xml:space="preserve"> קבעו במפורש, כי פטור הסוג לא יחול על הסדרי </w:t>
      </w:r>
      <w:r w:rsidRPr="00871C2C">
        <w:rPr>
          <w:rFonts w:eastAsia="Times New Roman"/>
          <w:lang w:eastAsia="he-IL"/>
        </w:rPr>
        <w:t>RPM</w:t>
      </w:r>
      <w:r w:rsidR="003D42CC" w:rsidRPr="00871C2C">
        <w:rPr>
          <w:rFonts w:eastAsia="Times New Roman" w:hint="cs"/>
          <w:rtl/>
          <w:lang w:eastAsia="he-IL"/>
        </w:rPr>
        <w:t>.</w:t>
      </w:r>
      <w:r w:rsidRPr="00871C2C">
        <w:rPr>
          <w:rFonts w:eastAsia="Times New Roman" w:hint="cs"/>
          <w:rtl/>
          <w:lang w:eastAsia="he-IL"/>
        </w:rPr>
        <w:t xml:space="preserve"> בכך הותיר פטור הסוג את הסדרי ה-</w:t>
      </w:r>
      <w:r w:rsidRPr="00871C2C">
        <w:rPr>
          <w:rFonts w:eastAsia="Times New Roman"/>
          <w:lang w:eastAsia="he-IL"/>
        </w:rPr>
        <w:t>RPM</w:t>
      </w:r>
      <w:r w:rsidRPr="00871C2C">
        <w:rPr>
          <w:rFonts w:eastAsia="Times New Roman" w:hint="cs"/>
          <w:rtl/>
          <w:lang w:eastAsia="he-IL"/>
        </w:rPr>
        <w:t xml:space="preserve"> כהסדרים</w:t>
      </w:r>
      <w:r w:rsidR="00A057D1" w:rsidRPr="00871C2C">
        <w:rPr>
          <w:rFonts w:eastAsia="Times New Roman" w:hint="cs"/>
          <w:rtl/>
          <w:lang w:eastAsia="he-IL"/>
        </w:rPr>
        <w:t xml:space="preserve"> לגביהם קיימת חזקה חלוטה שהם עלולים לפגוע בתחרות, דהיינו הסדרים כובלים.</w:t>
      </w:r>
      <w:r w:rsidRPr="00871C2C">
        <w:rPr>
          <w:rFonts w:eastAsia="Times New Roman" w:hint="cs"/>
          <w:rtl/>
          <w:lang w:eastAsia="he-IL"/>
        </w:rPr>
        <w:t xml:space="preserve"> פסק הדין בפרשת שופרסל שינה את הדין בקובעו, כאמור, ש</w:t>
      </w:r>
      <w:r w:rsidR="00C46E13" w:rsidRPr="00871C2C">
        <w:rPr>
          <w:rFonts w:eastAsia="Times New Roman" w:hint="cs"/>
          <w:rtl/>
          <w:lang w:eastAsia="he-IL"/>
        </w:rPr>
        <w:t xml:space="preserve">ככלל </w:t>
      </w:r>
      <w:r w:rsidRPr="00871C2C">
        <w:rPr>
          <w:rFonts w:eastAsia="Times New Roman" w:hint="cs"/>
          <w:rtl/>
          <w:lang w:eastAsia="he-IL"/>
        </w:rPr>
        <w:t>החזקות החלוטות הקבועות בסעיף 2(ב) לחוק יחולו על הסדרים בין מתחרים בלבד.</w:t>
      </w:r>
      <w:r w:rsidR="003D42CC" w:rsidRPr="00871C2C">
        <w:rPr>
          <w:rStyle w:val="FootnoteReference"/>
          <w:rFonts w:eastAsia="Times New Roman"/>
          <w:rtl/>
          <w:lang w:eastAsia="he-IL"/>
        </w:rPr>
        <w:footnoteReference w:id="3"/>
      </w:r>
      <w:r w:rsidR="00F711AC" w:rsidRPr="00871C2C">
        <w:rPr>
          <w:rFonts w:eastAsia="Times New Roman" w:hint="cs"/>
          <w:rtl/>
          <w:lang w:eastAsia="he-IL"/>
        </w:rPr>
        <w:t xml:space="preserve">  </w:t>
      </w:r>
    </w:p>
    <w:p w14:paraId="67D11DF4" w14:textId="4ED40692" w:rsidR="007E79B7" w:rsidRPr="00871C2C" w:rsidRDefault="007E79B7" w:rsidP="00C46E13">
      <w:pPr>
        <w:tabs>
          <w:tab w:val="left" w:pos="374"/>
        </w:tabs>
        <w:spacing w:before="120" w:after="120" w:line="360" w:lineRule="exact"/>
        <w:jc w:val="both"/>
        <w:rPr>
          <w:rFonts w:eastAsia="Times New Roman"/>
          <w:rtl/>
          <w:lang w:eastAsia="he-IL"/>
        </w:rPr>
      </w:pPr>
      <w:r w:rsidRPr="00871C2C">
        <w:rPr>
          <w:rFonts w:eastAsia="Times New Roman" w:hint="cs"/>
          <w:rtl/>
          <w:lang w:eastAsia="he-IL"/>
        </w:rPr>
        <w:t>לפיכך</w:t>
      </w:r>
      <w:r w:rsidR="00332477" w:rsidRPr="00871C2C">
        <w:rPr>
          <w:rFonts w:eastAsia="Times New Roman" w:hint="cs"/>
          <w:rtl/>
          <w:lang w:eastAsia="he-IL"/>
        </w:rPr>
        <w:t>,</w:t>
      </w:r>
      <w:r w:rsidRPr="00871C2C">
        <w:rPr>
          <w:rFonts w:eastAsia="Times New Roman" w:hint="cs"/>
          <w:rtl/>
          <w:lang w:eastAsia="he-IL"/>
        </w:rPr>
        <w:t xml:space="preserve"> בהתאם להלכה הנוהגת בעקבות פסק הדין בעניין שופרסל, </w:t>
      </w:r>
      <w:r w:rsidR="007C0A3A" w:rsidRPr="00871C2C">
        <w:rPr>
          <w:rFonts w:eastAsia="Times New Roman" w:hint="cs"/>
          <w:rtl/>
          <w:lang w:eastAsia="he-IL"/>
        </w:rPr>
        <w:t xml:space="preserve">ככלל </w:t>
      </w:r>
      <w:r w:rsidRPr="00871C2C">
        <w:rPr>
          <w:rFonts w:eastAsia="Times New Roman" w:hint="cs"/>
          <w:rtl/>
          <w:lang w:eastAsia="he-IL"/>
        </w:rPr>
        <w:t>יש לבחון את הסדרי ה-</w:t>
      </w:r>
      <w:r w:rsidRPr="00871C2C">
        <w:rPr>
          <w:rFonts w:eastAsia="Times New Roman"/>
          <w:lang w:eastAsia="he-IL"/>
        </w:rPr>
        <w:t>RPM</w:t>
      </w:r>
      <w:r w:rsidRPr="00871C2C">
        <w:rPr>
          <w:rFonts w:eastAsia="Times New Roman" w:hint="cs"/>
          <w:rtl/>
          <w:lang w:eastAsia="he-IL"/>
        </w:rPr>
        <w:t xml:space="preserve"> בהתאם להוראות סעיף 2(א) לחוק. על רקע זה מוצאת הרשות לנכון להציג את עמדתה </w:t>
      </w:r>
      <w:r w:rsidRPr="00871C2C">
        <w:rPr>
          <w:rFonts w:eastAsia="Times New Roman" w:hint="cs"/>
          <w:rtl/>
          <w:lang w:eastAsia="he-IL"/>
        </w:rPr>
        <w:lastRenderedPageBreak/>
        <w:t>באשר לאופן שבו יש לנתח הסדרי</w:t>
      </w:r>
      <w:r w:rsidRPr="00871C2C">
        <w:rPr>
          <w:rFonts w:eastAsia="Times New Roman"/>
          <w:lang w:eastAsia="he-IL"/>
        </w:rPr>
        <w:t xml:space="preserve">RPM </w:t>
      </w:r>
      <w:r w:rsidRPr="00871C2C">
        <w:rPr>
          <w:rFonts w:eastAsia="Times New Roman" w:hint="cs"/>
          <w:rtl/>
          <w:lang w:eastAsia="he-IL"/>
        </w:rPr>
        <w:t xml:space="preserve"> ומתי ייחשבו הסדרים אלה כהסדרים המקיימים את יסוד העלילות למניעה או הפחתה של התחרות בעסקים.</w:t>
      </w:r>
    </w:p>
    <w:p w14:paraId="1C64B572" w14:textId="2AB64999" w:rsidR="000C6294" w:rsidRPr="00871C2C" w:rsidRDefault="001F35F0" w:rsidP="00524B50">
      <w:pPr>
        <w:tabs>
          <w:tab w:val="left" w:pos="374"/>
        </w:tabs>
        <w:spacing w:before="120" w:after="120" w:line="360" w:lineRule="exact"/>
        <w:jc w:val="both"/>
        <w:rPr>
          <w:rFonts w:eastAsia="Times New Roman"/>
          <w:rtl/>
          <w:lang w:eastAsia="he-IL"/>
        </w:rPr>
      </w:pPr>
      <w:r w:rsidRPr="00871C2C">
        <w:rPr>
          <w:rFonts w:eastAsia="Times New Roman" w:hint="cs"/>
          <w:rtl/>
          <w:lang w:eastAsia="he-IL"/>
        </w:rPr>
        <w:t>הסדר</w:t>
      </w:r>
      <w:r w:rsidR="00F711AC" w:rsidRPr="00871C2C">
        <w:rPr>
          <w:rFonts w:eastAsia="Times New Roman" w:hint="cs"/>
          <w:rtl/>
          <w:lang w:eastAsia="he-IL"/>
        </w:rPr>
        <w:t>י</w:t>
      </w:r>
      <w:r w:rsidRPr="00871C2C">
        <w:rPr>
          <w:rFonts w:eastAsia="Times New Roman" w:hint="cs"/>
          <w:rtl/>
          <w:lang w:eastAsia="he-IL"/>
        </w:rPr>
        <w:t xml:space="preserve"> </w:t>
      </w:r>
      <w:r w:rsidRPr="00871C2C">
        <w:rPr>
          <w:rFonts w:eastAsia="Times New Roman"/>
          <w:lang w:eastAsia="he-IL"/>
        </w:rPr>
        <w:t>RPM</w:t>
      </w:r>
      <w:r w:rsidRPr="00871C2C">
        <w:rPr>
          <w:rFonts w:eastAsia="Times New Roman" w:hint="cs"/>
          <w:rtl/>
          <w:lang w:eastAsia="he-IL"/>
        </w:rPr>
        <w:t xml:space="preserve"> </w:t>
      </w:r>
      <w:r w:rsidR="00B60EA0" w:rsidRPr="00871C2C">
        <w:rPr>
          <w:rFonts w:eastAsia="Times New Roman" w:hint="cs"/>
          <w:rtl/>
          <w:lang w:eastAsia="he-IL"/>
        </w:rPr>
        <w:t xml:space="preserve">נבדלים </w:t>
      </w:r>
      <w:r w:rsidR="0098609F" w:rsidRPr="00871C2C">
        <w:rPr>
          <w:rFonts w:eastAsia="Times New Roman" w:hint="cs"/>
          <w:rtl/>
          <w:lang w:eastAsia="he-IL"/>
        </w:rPr>
        <w:t>במהותם מרובן של הכבילות האנכיות</w:t>
      </w:r>
      <w:r w:rsidRPr="00871C2C">
        <w:rPr>
          <w:rFonts w:eastAsia="Times New Roman" w:hint="cs"/>
          <w:rtl/>
          <w:lang w:eastAsia="he-IL"/>
        </w:rPr>
        <w:t xml:space="preserve">, </w:t>
      </w:r>
      <w:r w:rsidR="00475EE4" w:rsidRPr="00871C2C">
        <w:rPr>
          <w:rFonts w:eastAsia="Times New Roman" w:hint="cs"/>
          <w:rtl/>
          <w:lang w:eastAsia="he-IL"/>
        </w:rPr>
        <w:t>בכך שתוצאתם</w:t>
      </w:r>
      <w:r w:rsidR="0098609F" w:rsidRPr="00871C2C">
        <w:rPr>
          <w:rFonts w:eastAsia="Times New Roman" w:hint="cs"/>
          <w:rtl/>
          <w:lang w:eastAsia="he-IL"/>
        </w:rPr>
        <w:t xml:space="preserve"> הישירה </w:t>
      </w:r>
      <w:r w:rsidRPr="00871C2C">
        <w:rPr>
          <w:rFonts w:eastAsia="Times New Roman" w:hint="cs"/>
          <w:rtl/>
          <w:lang w:eastAsia="he-IL"/>
        </w:rPr>
        <w:t>היא</w:t>
      </w:r>
      <w:r w:rsidR="009D4FE4" w:rsidRPr="00871C2C">
        <w:rPr>
          <w:rFonts w:eastAsia="Times New Roman" w:hint="cs"/>
          <w:rtl/>
          <w:lang w:eastAsia="he-IL"/>
        </w:rPr>
        <w:t xml:space="preserve"> </w:t>
      </w:r>
      <w:r w:rsidR="00332477" w:rsidRPr="00871C2C">
        <w:rPr>
          <w:rFonts w:eastAsia="Times New Roman" w:hint="cs"/>
          <w:rtl/>
          <w:lang w:eastAsia="he-IL"/>
        </w:rPr>
        <w:t>הגבלת התחרות התוך</w:t>
      </w:r>
      <w:r w:rsidR="003D42CC" w:rsidRPr="00871C2C">
        <w:rPr>
          <w:rFonts w:eastAsia="Times New Roman" w:hint="cs"/>
          <w:rtl/>
          <w:lang w:eastAsia="he-IL"/>
        </w:rPr>
        <w:t>-</w:t>
      </w:r>
      <w:r w:rsidR="00332477" w:rsidRPr="00871C2C">
        <w:rPr>
          <w:rFonts w:eastAsia="Times New Roman" w:hint="cs"/>
          <w:rtl/>
          <w:lang w:eastAsia="he-IL"/>
        </w:rPr>
        <w:t xml:space="preserve">מותגית בהיבט המחיר </w:t>
      </w:r>
      <w:r w:rsidRPr="00871C2C">
        <w:rPr>
          <w:rFonts w:eastAsia="Times New Roman" w:hint="cs"/>
          <w:rtl/>
          <w:lang w:eastAsia="he-IL"/>
        </w:rPr>
        <w:t xml:space="preserve">ביחס למצב בו לא </w:t>
      </w:r>
      <w:r w:rsidR="00950197" w:rsidRPr="00871C2C">
        <w:rPr>
          <w:rFonts w:eastAsia="Times New Roman" w:hint="cs"/>
          <w:rtl/>
          <w:lang w:eastAsia="he-IL"/>
        </w:rPr>
        <w:t xml:space="preserve">היה </w:t>
      </w:r>
      <w:r w:rsidRPr="00871C2C">
        <w:rPr>
          <w:rFonts w:eastAsia="Times New Roman" w:hint="cs"/>
          <w:rtl/>
          <w:lang w:eastAsia="he-IL"/>
        </w:rPr>
        <w:t xml:space="preserve">קיים הסדר </w:t>
      </w:r>
      <w:r w:rsidRPr="00871C2C">
        <w:rPr>
          <w:rFonts w:eastAsia="Times New Roman"/>
          <w:lang w:eastAsia="he-IL"/>
        </w:rPr>
        <w:t>RPM</w:t>
      </w:r>
      <w:r w:rsidRPr="00871C2C">
        <w:rPr>
          <w:rFonts w:eastAsia="Times New Roman" w:hint="cs"/>
          <w:rtl/>
          <w:lang w:eastAsia="he-IL"/>
        </w:rPr>
        <w:t>.</w:t>
      </w:r>
      <w:r w:rsidR="00524B50" w:rsidRPr="00871C2C">
        <w:rPr>
          <w:rFonts w:eastAsia="Times New Roman" w:hint="cs"/>
          <w:rtl/>
          <w:lang w:eastAsia="he-IL"/>
        </w:rPr>
        <w:t xml:space="preserve"> </w:t>
      </w:r>
      <w:r w:rsidRPr="00871C2C">
        <w:rPr>
          <w:rFonts w:eastAsia="Times New Roman" w:hint="cs"/>
          <w:rtl/>
          <w:lang w:eastAsia="he-IL"/>
        </w:rPr>
        <w:t>מ</w:t>
      </w:r>
      <w:r w:rsidR="00475EE4" w:rsidRPr="00871C2C">
        <w:rPr>
          <w:rFonts w:eastAsia="Times New Roman" w:hint="cs"/>
          <w:rtl/>
          <w:lang w:eastAsia="he-IL"/>
        </w:rPr>
        <w:t>שכך</w:t>
      </w:r>
      <w:r w:rsidR="00B35F20" w:rsidRPr="00871C2C">
        <w:rPr>
          <w:rFonts w:eastAsia="Times New Roman" w:hint="cs"/>
          <w:rtl/>
          <w:lang w:eastAsia="he-IL"/>
        </w:rPr>
        <w:t>,</w:t>
      </w:r>
      <w:r w:rsidR="000241CA" w:rsidRPr="00871C2C">
        <w:rPr>
          <w:rFonts w:eastAsia="Times New Roman" w:hint="cs"/>
          <w:rtl/>
          <w:lang w:eastAsia="he-IL"/>
        </w:rPr>
        <w:t xml:space="preserve"> רשות ההגבלים העסקיים </w:t>
      </w:r>
      <w:r w:rsidR="000C6294" w:rsidRPr="00871C2C">
        <w:rPr>
          <w:rFonts w:eastAsia="Times New Roman" w:hint="cs"/>
          <w:rtl/>
          <w:lang w:eastAsia="he-IL"/>
        </w:rPr>
        <w:t>ת</w:t>
      </w:r>
      <w:r w:rsidR="000241CA" w:rsidRPr="00871C2C">
        <w:rPr>
          <w:rFonts w:eastAsia="Times New Roman" w:hint="cs"/>
          <w:rtl/>
          <w:lang w:eastAsia="he-IL"/>
        </w:rPr>
        <w:t>תייחס להסדרים אלה בצורה מחמירה יותר מאשר ליתר ההסדרים האנכיים.</w:t>
      </w:r>
      <w:r w:rsidR="00753478" w:rsidRPr="00871C2C">
        <w:rPr>
          <w:rFonts w:eastAsia="Times New Roman" w:hint="cs"/>
          <w:rtl/>
          <w:lang w:eastAsia="he-IL"/>
        </w:rPr>
        <w:t xml:space="preserve"> </w:t>
      </w:r>
      <w:r w:rsidR="00C21004" w:rsidRPr="00871C2C">
        <w:rPr>
          <w:rFonts w:eastAsia="Times New Roman" w:hint="cs"/>
          <w:rtl/>
          <w:lang w:eastAsia="he-IL"/>
        </w:rPr>
        <w:t>ככלל</w:t>
      </w:r>
      <w:r w:rsidR="00B35F20" w:rsidRPr="00871C2C">
        <w:rPr>
          <w:rFonts w:eastAsia="Times New Roman" w:hint="cs"/>
          <w:rtl/>
          <w:lang w:eastAsia="he-IL"/>
        </w:rPr>
        <w:t>,</w:t>
      </w:r>
      <w:r w:rsidR="00637FC8" w:rsidRPr="00871C2C">
        <w:rPr>
          <w:rFonts w:eastAsia="Times New Roman" w:hint="cs"/>
          <w:rtl/>
          <w:lang w:eastAsia="he-IL"/>
        </w:rPr>
        <w:t xml:space="preserve"> עמדת הרשות היא ש</w:t>
      </w:r>
      <w:r w:rsidR="0098609F" w:rsidRPr="00871C2C">
        <w:rPr>
          <w:rFonts w:eastAsia="Times New Roman" w:hint="cs"/>
          <w:rtl/>
          <w:lang w:eastAsia="he-IL"/>
        </w:rPr>
        <w:t>אין מקום ל</w:t>
      </w:r>
      <w:r w:rsidR="00950197" w:rsidRPr="00871C2C">
        <w:rPr>
          <w:rFonts w:eastAsia="Times New Roman" w:hint="cs"/>
          <w:rtl/>
          <w:lang w:eastAsia="he-IL"/>
        </w:rPr>
        <w:t>התקשרות ב</w:t>
      </w:r>
      <w:r w:rsidR="0098609F" w:rsidRPr="00871C2C">
        <w:rPr>
          <w:rFonts w:eastAsia="Times New Roman" w:hint="cs"/>
          <w:rtl/>
          <w:lang w:eastAsia="he-IL"/>
        </w:rPr>
        <w:t xml:space="preserve">הסדר </w:t>
      </w:r>
      <w:r w:rsidR="0098609F" w:rsidRPr="00871C2C">
        <w:rPr>
          <w:rFonts w:eastAsia="Times New Roman"/>
          <w:lang w:eastAsia="he-IL"/>
        </w:rPr>
        <w:t>RPM</w:t>
      </w:r>
      <w:r w:rsidR="00D24403" w:rsidRPr="00871C2C">
        <w:rPr>
          <w:rFonts w:eastAsia="Times New Roman" w:hint="cs"/>
          <w:rtl/>
          <w:lang w:eastAsia="he-IL"/>
        </w:rPr>
        <w:t xml:space="preserve"> הנוגע למקטע הקמעונאי</w:t>
      </w:r>
      <w:r w:rsidR="00680F90" w:rsidRPr="00871C2C">
        <w:rPr>
          <w:rFonts w:eastAsia="Times New Roman" w:hint="cs"/>
          <w:rtl/>
          <w:lang w:eastAsia="he-IL"/>
        </w:rPr>
        <w:t>,</w:t>
      </w:r>
      <w:r w:rsidR="0098609F" w:rsidRPr="00871C2C">
        <w:rPr>
          <w:rFonts w:eastAsia="Times New Roman" w:hint="cs"/>
          <w:rtl/>
          <w:lang w:eastAsia="he-IL"/>
        </w:rPr>
        <w:t xml:space="preserve"> </w:t>
      </w:r>
      <w:r w:rsidR="00950197" w:rsidRPr="00871C2C">
        <w:rPr>
          <w:rFonts w:eastAsia="Times New Roman" w:hint="cs"/>
          <w:rtl/>
          <w:lang w:eastAsia="he-IL"/>
        </w:rPr>
        <w:t xml:space="preserve">אלא אם מאפייני השוק </w:t>
      </w:r>
      <w:r w:rsidR="00880452" w:rsidRPr="00871C2C">
        <w:rPr>
          <w:rFonts w:eastAsia="Times New Roman" w:hint="cs"/>
          <w:rtl/>
          <w:lang w:eastAsia="he-IL"/>
        </w:rPr>
        <w:t xml:space="preserve">מצביעים על </w:t>
      </w:r>
      <w:r w:rsidR="00950197" w:rsidRPr="00871C2C">
        <w:rPr>
          <w:rFonts w:eastAsia="Times New Roman" w:hint="cs"/>
          <w:rtl/>
          <w:lang w:eastAsia="he-IL"/>
        </w:rPr>
        <w:t xml:space="preserve">מידה מספקת של תחרות ורק לצורך השגת </w:t>
      </w:r>
      <w:r w:rsidR="0098609F" w:rsidRPr="00871C2C">
        <w:rPr>
          <w:rFonts w:eastAsia="Times New Roman" w:hint="cs"/>
          <w:rtl/>
          <w:lang w:eastAsia="he-IL"/>
        </w:rPr>
        <w:t xml:space="preserve">תועלת </w:t>
      </w:r>
      <w:r w:rsidRPr="00871C2C">
        <w:rPr>
          <w:rFonts w:eastAsia="Times New Roman" w:hint="cs"/>
          <w:rtl/>
          <w:lang w:eastAsia="he-IL"/>
        </w:rPr>
        <w:t>פרו-תחרותית מובהקת</w:t>
      </w:r>
      <w:r w:rsidR="00481277" w:rsidRPr="00871C2C">
        <w:rPr>
          <w:rFonts w:eastAsia="Times New Roman" w:hint="cs"/>
          <w:rtl/>
          <w:lang w:eastAsia="he-IL"/>
        </w:rPr>
        <w:t xml:space="preserve">. באשר להסדרי </w:t>
      </w:r>
      <w:r w:rsidR="00481277" w:rsidRPr="00871C2C">
        <w:rPr>
          <w:rFonts w:eastAsia="Times New Roman"/>
          <w:lang w:eastAsia="he-IL"/>
        </w:rPr>
        <w:t>RPM</w:t>
      </w:r>
      <w:r w:rsidR="00481277" w:rsidRPr="00871C2C">
        <w:rPr>
          <w:rFonts w:eastAsia="Times New Roman" w:hint="cs"/>
          <w:rtl/>
          <w:lang w:eastAsia="he-IL"/>
        </w:rPr>
        <w:t xml:space="preserve"> אשר אינם נוגעים למקטע הקמעונאי, </w:t>
      </w:r>
      <w:r w:rsidR="004F4AC3" w:rsidRPr="00871C2C">
        <w:rPr>
          <w:rFonts w:eastAsia="Times New Roman" w:hint="cs"/>
          <w:rtl/>
          <w:lang w:eastAsia="he-IL"/>
        </w:rPr>
        <w:t xml:space="preserve">ככלל הסדרים אלה ייבחנו בהתאם לאופי היחסים שבין הספק לבין </w:t>
      </w:r>
      <w:r w:rsidR="00C46E13" w:rsidRPr="00871C2C">
        <w:rPr>
          <w:rFonts w:eastAsia="Times New Roman" w:hint="cs"/>
          <w:rtl/>
          <w:lang w:eastAsia="he-IL"/>
        </w:rPr>
        <w:t>המפיץ</w:t>
      </w:r>
      <w:r w:rsidRPr="00871C2C">
        <w:rPr>
          <w:rFonts w:eastAsia="Times New Roman" w:hint="cs"/>
          <w:rtl/>
          <w:lang w:eastAsia="he-IL"/>
        </w:rPr>
        <w:t xml:space="preserve"> </w:t>
      </w:r>
      <w:r w:rsidR="00F711AC" w:rsidRPr="00871C2C">
        <w:rPr>
          <w:rFonts w:eastAsia="Times New Roman" w:hint="cs"/>
          <w:rtl/>
          <w:lang w:eastAsia="he-IL"/>
        </w:rPr>
        <w:t xml:space="preserve">והכל </w:t>
      </w:r>
      <w:r w:rsidR="00306152" w:rsidRPr="00871C2C">
        <w:rPr>
          <w:rFonts w:eastAsia="Times New Roman" w:hint="cs"/>
          <w:rtl/>
          <w:lang w:eastAsia="he-IL"/>
        </w:rPr>
        <w:t>בכפוף לאמור</w:t>
      </w:r>
      <w:r w:rsidR="00F711AC" w:rsidRPr="00871C2C">
        <w:rPr>
          <w:rFonts w:eastAsia="Times New Roman" w:hint="cs"/>
          <w:rtl/>
          <w:lang w:eastAsia="he-IL"/>
        </w:rPr>
        <w:t xml:space="preserve"> בפרקים הבאים.</w:t>
      </w:r>
      <w:r w:rsidR="0064007E" w:rsidRPr="00871C2C">
        <w:rPr>
          <w:rStyle w:val="FootnoteReference"/>
          <w:rFonts w:eastAsia="Times New Roman"/>
          <w:rtl/>
          <w:lang w:eastAsia="he-IL"/>
        </w:rPr>
        <w:footnoteReference w:id="4"/>
      </w:r>
      <w:r w:rsidR="0092690E" w:rsidRPr="00871C2C">
        <w:rPr>
          <w:rFonts w:eastAsia="Times New Roman"/>
          <w:rtl/>
          <w:lang w:eastAsia="he-IL"/>
        </w:rPr>
        <w:t xml:space="preserve"> </w:t>
      </w:r>
    </w:p>
    <w:p w14:paraId="0529A2A0" w14:textId="22BCEBA1" w:rsidR="00524B50" w:rsidRPr="00871C2C" w:rsidRDefault="0098609F" w:rsidP="00637FC8">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למען הסר ספק </w:t>
      </w:r>
      <w:r w:rsidR="00B04939" w:rsidRPr="00871C2C">
        <w:rPr>
          <w:rFonts w:eastAsia="Times New Roman" w:hint="cs"/>
          <w:rtl/>
          <w:lang w:eastAsia="he-IL"/>
        </w:rPr>
        <w:t>יובהר</w:t>
      </w:r>
      <w:r w:rsidR="000C6294" w:rsidRPr="00871C2C">
        <w:rPr>
          <w:rFonts w:eastAsia="Times New Roman" w:hint="cs"/>
          <w:rtl/>
          <w:lang w:eastAsia="he-IL"/>
        </w:rPr>
        <w:t>,</w:t>
      </w:r>
      <w:r w:rsidR="00B04939" w:rsidRPr="00871C2C">
        <w:rPr>
          <w:rFonts w:eastAsia="Times New Roman" w:hint="cs"/>
          <w:rtl/>
          <w:lang w:eastAsia="he-IL"/>
        </w:rPr>
        <w:t xml:space="preserve"> כי עניינ</w:t>
      </w:r>
      <w:r w:rsidRPr="00871C2C">
        <w:rPr>
          <w:rFonts w:eastAsia="Times New Roman" w:hint="cs"/>
          <w:rtl/>
          <w:lang w:eastAsia="he-IL"/>
        </w:rPr>
        <w:t xml:space="preserve">ו של גילוי דעת זה אך ורק בהסדרי </w:t>
      </w:r>
      <w:r w:rsidRPr="00871C2C">
        <w:rPr>
          <w:rFonts w:eastAsia="Times New Roman"/>
          <w:lang w:eastAsia="he-IL"/>
        </w:rPr>
        <w:t>RPM</w:t>
      </w:r>
      <w:r w:rsidRPr="00871C2C">
        <w:rPr>
          <w:rFonts w:eastAsia="Times New Roman" w:hint="cs"/>
          <w:rtl/>
          <w:lang w:eastAsia="he-IL"/>
        </w:rPr>
        <w:t xml:space="preserve">, היינו הסדרים אנכיים </w:t>
      </w:r>
      <w:r w:rsidR="00B04939" w:rsidRPr="00871C2C">
        <w:rPr>
          <w:rFonts w:eastAsia="Times New Roman" w:hint="cs"/>
          <w:rtl/>
          <w:lang w:eastAsia="he-IL"/>
        </w:rPr>
        <w:t>הנערכים בין ספק לבין קמעונאי</w:t>
      </w:r>
      <w:r w:rsidR="00CD407F" w:rsidRPr="00871C2C">
        <w:rPr>
          <w:rFonts w:eastAsia="Times New Roman" w:hint="cs"/>
          <w:rtl/>
          <w:lang w:eastAsia="he-IL"/>
        </w:rPr>
        <w:t xml:space="preserve"> או מפיץ</w:t>
      </w:r>
      <w:r w:rsidR="00B04939" w:rsidRPr="00871C2C">
        <w:rPr>
          <w:rFonts w:eastAsia="Times New Roman" w:hint="cs"/>
          <w:rtl/>
          <w:lang w:eastAsia="he-IL"/>
        </w:rPr>
        <w:t>. הסדר ש</w:t>
      </w:r>
      <w:r w:rsidRPr="00871C2C">
        <w:rPr>
          <w:rFonts w:eastAsia="Times New Roman" w:hint="cs"/>
          <w:rtl/>
          <w:lang w:eastAsia="he-IL"/>
        </w:rPr>
        <w:t xml:space="preserve">לו </w:t>
      </w:r>
      <w:r w:rsidR="00B04939" w:rsidRPr="00871C2C">
        <w:rPr>
          <w:rFonts w:eastAsia="Times New Roman" w:hint="cs"/>
          <w:rtl/>
          <w:lang w:eastAsia="he-IL"/>
        </w:rPr>
        <w:t xml:space="preserve">היבט של תיאום אופקי </w:t>
      </w:r>
      <w:r w:rsidR="00B04939" w:rsidRPr="00871C2C">
        <w:rPr>
          <w:rFonts w:eastAsia="Times New Roman"/>
          <w:rtl/>
          <w:lang w:eastAsia="he-IL"/>
        </w:rPr>
        <w:t>–</w:t>
      </w:r>
      <w:r w:rsidR="00B04939" w:rsidRPr="00871C2C">
        <w:rPr>
          <w:rFonts w:eastAsia="Times New Roman" w:hint="cs"/>
          <w:rtl/>
          <w:lang w:eastAsia="he-IL"/>
        </w:rPr>
        <w:t xml:space="preserve"> למשל, פנייה משותפת</w:t>
      </w:r>
      <w:r w:rsidR="00680F90" w:rsidRPr="00871C2C">
        <w:rPr>
          <w:rFonts w:eastAsia="Times New Roman" w:hint="cs"/>
          <w:rtl/>
          <w:lang w:eastAsia="he-IL"/>
        </w:rPr>
        <w:t xml:space="preserve"> או מתואמת</w:t>
      </w:r>
      <w:r w:rsidR="00B04939" w:rsidRPr="00871C2C">
        <w:rPr>
          <w:rFonts w:eastAsia="Times New Roman" w:hint="cs"/>
          <w:rtl/>
          <w:lang w:eastAsia="he-IL"/>
        </w:rPr>
        <w:t xml:space="preserve"> של קמעונאים לספק משותף בדרישה כי יקבע ויאכוף הסדר</w:t>
      </w:r>
      <w:r w:rsidR="00535CD3">
        <w:rPr>
          <w:rFonts w:eastAsia="Times New Roman" w:hint="cs"/>
          <w:rtl/>
          <w:lang w:eastAsia="he-IL"/>
        </w:rPr>
        <w:t>י</w:t>
      </w:r>
      <w:r w:rsidR="00B04939" w:rsidRPr="00871C2C">
        <w:rPr>
          <w:rFonts w:eastAsia="Times New Roman" w:hint="cs"/>
          <w:rtl/>
          <w:lang w:eastAsia="he-IL"/>
        </w:rPr>
        <w:t xml:space="preserve"> </w:t>
      </w:r>
      <w:r w:rsidR="00B04939" w:rsidRPr="00871C2C">
        <w:rPr>
          <w:rFonts w:eastAsia="Times New Roman"/>
          <w:lang w:eastAsia="he-IL"/>
        </w:rPr>
        <w:t>RPM</w:t>
      </w:r>
      <w:r w:rsidR="00B04939" w:rsidRPr="00871C2C">
        <w:rPr>
          <w:rFonts w:eastAsia="Times New Roman" w:hint="cs"/>
          <w:rtl/>
          <w:lang w:eastAsia="he-IL"/>
        </w:rPr>
        <w:t xml:space="preserve"> או הסכמה בין ספקים על אימוץ </w:t>
      </w:r>
      <w:r w:rsidRPr="00871C2C">
        <w:rPr>
          <w:rFonts w:eastAsia="Times New Roman" w:hint="cs"/>
          <w:rtl/>
          <w:lang w:eastAsia="he-IL"/>
        </w:rPr>
        <w:t xml:space="preserve">משותף של </w:t>
      </w:r>
      <w:r w:rsidR="00B04939" w:rsidRPr="00871C2C">
        <w:rPr>
          <w:rFonts w:eastAsia="Times New Roman" w:hint="cs"/>
          <w:rtl/>
          <w:lang w:eastAsia="he-IL"/>
        </w:rPr>
        <w:t xml:space="preserve">הסדרי </w:t>
      </w:r>
      <w:r w:rsidR="00B04939" w:rsidRPr="00871C2C">
        <w:rPr>
          <w:rFonts w:eastAsia="Times New Roman"/>
          <w:lang w:eastAsia="he-IL"/>
        </w:rPr>
        <w:t>RPM</w:t>
      </w:r>
      <w:r w:rsidRPr="00871C2C">
        <w:rPr>
          <w:rFonts w:eastAsia="Times New Roman" w:hint="cs"/>
          <w:rtl/>
          <w:lang w:eastAsia="he-IL"/>
        </w:rPr>
        <w:t xml:space="preserve"> </w:t>
      </w:r>
      <w:r w:rsidR="00B04939" w:rsidRPr="00871C2C">
        <w:rPr>
          <w:rFonts w:eastAsia="Times New Roman"/>
          <w:rtl/>
          <w:lang w:eastAsia="he-IL"/>
        </w:rPr>
        <w:t>–</w:t>
      </w:r>
      <w:r w:rsidR="00B04939" w:rsidRPr="00871C2C">
        <w:rPr>
          <w:rFonts w:eastAsia="Times New Roman" w:hint="cs"/>
          <w:rtl/>
          <w:lang w:eastAsia="he-IL"/>
        </w:rPr>
        <w:t xml:space="preserve"> אינו </w:t>
      </w:r>
      <w:r w:rsidRPr="00871C2C">
        <w:rPr>
          <w:rFonts w:eastAsia="Times New Roman" w:hint="cs"/>
          <w:rtl/>
          <w:lang w:eastAsia="he-IL"/>
        </w:rPr>
        <w:t xml:space="preserve">בגדר </w:t>
      </w:r>
      <w:r w:rsidR="00B04939" w:rsidRPr="00871C2C">
        <w:rPr>
          <w:rFonts w:eastAsia="Times New Roman" w:hint="cs"/>
          <w:rtl/>
          <w:lang w:eastAsia="he-IL"/>
        </w:rPr>
        <w:t xml:space="preserve">הסדר </w:t>
      </w:r>
      <w:r w:rsidR="00B04939" w:rsidRPr="00871C2C">
        <w:rPr>
          <w:rFonts w:eastAsia="Times New Roman"/>
          <w:lang w:eastAsia="he-IL"/>
        </w:rPr>
        <w:t>RPM</w:t>
      </w:r>
      <w:r w:rsidR="00B04939" w:rsidRPr="00871C2C">
        <w:rPr>
          <w:rFonts w:eastAsia="Times New Roman" w:hint="cs"/>
          <w:rtl/>
          <w:lang w:eastAsia="he-IL"/>
        </w:rPr>
        <w:t xml:space="preserve"> אלא הסדר אופקי במסווה של הסדר אנכי.</w:t>
      </w:r>
      <w:r w:rsidR="00A11044" w:rsidRPr="00871C2C">
        <w:rPr>
          <w:rStyle w:val="FootnoteReference"/>
          <w:rFonts w:eastAsia="Times New Roman"/>
          <w:rtl/>
          <w:lang w:eastAsia="he-IL"/>
        </w:rPr>
        <w:footnoteReference w:id="5"/>
      </w:r>
      <w:r w:rsidRPr="00871C2C">
        <w:rPr>
          <w:rFonts w:eastAsia="Times New Roman" w:hint="cs"/>
          <w:rtl/>
          <w:lang w:eastAsia="he-IL"/>
        </w:rPr>
        <w:t xml:space="preserve"> אין באמור בגילוי דעת זה או בפסק הדין בפרשת שופרסל כדי לגרוע מתחולת החזקות החלוטות שבסעיף 2(ב) </w:t>
      </w:r>
      <w:r w:rsidR="00C46E13" w:rsidRPr="00871C2C">
        <w:rPr>
          <w:rFonts w:eastAsia="Times New Roman" w:hint="cs"/>
          <w:rtl/>
          <w:lang w:eastAsia="he-IL"/>
        </w:rPr>
        <w:t xml:space="preserve">לחוק </w:t>
      </w:r>
      <w:r w:rsidRPr="00871C2C">
        <w:rPr>
          <w:rFonts w:eastAsia="Times New Roman" w:hint="cs"/>
          <w:rtl/>
          <w:lang w:eastAsia="he-IL"/>
        </w:rPr>
        <w:t>על הסדר</w:t>
      </w:r>
      <w:r w:rsidR="00332477" w:rsidRPr="00871C2C">
        <w:rPr>
          <w:rFonts w:eastAsia="Times New Roman" w:hint="cs"/>
          <w:rtl/>
          <w:lang w:eastAsia="he-IL"/>
        </w:rPr>
        <w:t xml:space="preserve"> אופקי</w:t>
      </w:r>
      <w:r w:rsidRPr="00871C2C">
        <w:rPr>
          <w:rFonts w:eastAsia="Times New Roman" w:hint="cs"/>
          <w:rtl/>
          <w:lang w:eastAsia="he-IL"/>
        </w:rPr>
        <w:t xml:space="preserve"> כאמור, והוא יטופל באמצעות כלי האכיפה המתאימים.</w:t>
      </w:r>
      <w:r w:rsidR="00524B50" w:rsidRPr="00871C2C">
        <w:rPr>
          <w:rFonts w:eastAsia="Times New Roman" w:hint="cs"/>
          <w:rtl/>
          <w:lang w:eastAsia="he-IL"/>
        </w:rPr>
        <w:t xml:space="preserve"> </w:t>
      </w:r>
    </w:p>
    <w:p w14:paraId="4A6FC4E2" w14:textId="6A0C7B5F" w:rsidR="00B04939" w:rsidRPr="00871C2C" w:rsidRDefault="00524B50" w:rsidP="00524B50">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כפי שנציג להלן, הסדרי </w:t>
      </w:r>
      <w:r w:rsidRPr="00871C2C">
        <w:rPr>
          <w:rFonts w:eastAsia="Times New Roman"/>
          <w:lang w:eastAsia="he-IL"/>
        </w:rPr>
        <w:t>RPM</w:t>
      </w:r>
      <w:r w:rsidRPr="00871C2C">
        <w:rPr>
          <w:rFonts w:eastAsia="Times New Roman" w:hint="cs"/>
          <w:rtl/>
          <w:lang w:eastAsia="he-IL"/>
        </w:rPr>
        <w:t xml:space="preserve"> עלולים להעלות מגוון של חששות לפגיעה בתחרות, ובכלל זה חשש להקלה על שיווי משקל מתואם במקטע הספקים או הקמעונאים, חשש לפגיעה בתמריץ של קמעונאים לרסן כוח שוק של ספק דומיננטי וכן חשש לפגיעה ביכולתם של ספקים או קמעונאים קטנים להתחרות. </w:t>
      </w:r>
    </w:p>
    <w:p w14:paraId="3F5EEE27" w14:textId="212DD0F9" w:rsidR="00E7597B" w:rsidRPr="00871C2C" w:rsidRDefault="003A2706" w:rsidP="00C26DF4">
      <w:pPr>
        <w:pStyle w:val="Heading1"/>
        <w:rPr>
          <w:rFonts w:eastAsia="Times New Roman"/>
          <w:lang w:eastAsia="he-IL"/>
        </w:rPr>
      </w:pPr>
      <w:r w:rsidRPr="00871C2C">
        <w:rPr>
          <w:rFonts w:eastAsia="Times New Roman"/>
          <w:rtl/>
          <w:lang w:eastAsia="he-IL"/>
        </w:rPr>
        <w:t xml:space="preserve">כללי – </w:t>
      </w:r>
      <w:r w:rsidR="004E2045" w:rsidRPr="00871C2C">
        <w:rPr>
          <w:rFonts w:eastAsia="Times New Roman" w:hint="cs"/>
          <w:rtl/>
          <w:lang w:eastAsia="he-IL"/>
        </w:rPr>
        <w:t>הסדרים אנכיים</w:t>
      </w:r>
      <w:r w:rsidR="00E7597B" w:rsidRPr="00871C2C">
        <w:rPr>
          <w:rFonts w:eastAsia="Times New Roman"/>
          <w:rtl/>
          <w:lang w:eastAsia="he-IL"/>
        </w:rPr>
        <w:t xml:space="preserve"> </w:t>
      </w:r>
      <w:r w:rsidR="0067129C" w:rsidRPr="00871C2C">
        <w:rPr>
          <w:rFonts w:eastAsia="Times New Roman"/>
          <w:rtl/>
          <w:lang w:eastAsia="he-IL"/>
        </w:rPr>
        <w:t>בראי דיני ההגבלים העסקיים</w:t>
      </w:r>
    </w:p>
    <w:p w14:paraId="37E33665" w14:textId="532E7C87" w:rsidR="00685C96" w:rsidRPr="00871C2C" w:rsidRDefault="007E4F72" w:rsidP="00B97AF9">
      <w:pPr>
        <w:tabs>
          <w:tab w:val="left" w:pos="374"/>
          <w:tab w:val="left" w:pos="3018"/>
        </w:tabs>
        <w:spacing w:before="120" w:after="120" w:line="360" w:lineRule="exact"/>
        <w:jc w:val="both"/>
        <w:rPr>
          <w:rFonts w:eastAsia="Times New Roman"/>
          <w:rtl/>
          <w:lang w:eastAsia="he-IL"/>
        </w:rPr>
      </w:pPr>
      <w:r w:rsidRPr="00871C2C">
        <w:rPr>
          <w:rFonts w:eastAsia="Times New Roman"/>
          <w:rtl/>
          <w:lang w:eastAsia="he-IL"/>
        </w:rPr>
        <w:t>סעיף 4 לחוק</w:t>
      </w:r>
      <w:r w:rsidR="0034543F" w:rsidRPr="00871C2C">
        <w:rPr>
          <w:rFonts w:eastAsia="Times New Roman"/>
          <w:rtl/>
          <w:lang w:eastAsia="he-IL"/>
        </w:rPr>
        <w:t xml:space="preserve"> </w:t>
      </w:r>
      <w:r w:rsidRPr="00871C2C">
        <w:rPr>
          <w:rFonts w:eastAsia="Times New Roman"/>
          <w:rtl/>
          <w:lang w:eastAsia="he-IL"/>
        </w:rPr>
        <w:t>אוסר על היות אדם צד להסדר כובל, אלא אם התקבל היתר ממערך ההגבלים העסקיים</w:t>
      </w:r>
      <w:r w:rsidR="002F4D75" w:rsidRPr="00871C2C">
        <w:rPr>
          <w:rFonts w:eastAsia="Times New Roman"/>
          <w:rtl/>
          <w:lang w:eastAsia="he-IL"/>
        </w:rPr>
        <w:t xml:space="preserve">. </w:t>
      </w:r>
      <w:r w:rsidR="00E97BDA" w:rsidRPr="00871C2C">
        <w:rPr>
          <w:rFonts w:eastAsia="Times New Roman"/>
          <w:rtl/>
          <w:lang w:eastAsia="he-IL"/>
        </w:rPr>
        <w:t>המונח</w:t>
      </w:r>
      <w:r w:rsidR="00685C96" w:rsidRPr="00871C2C">
        <w:rPr>
          <w:rFonts w:eastAsia="Times New Roman"/>
          <w:rtl/>
          <w:lang w:eastAsia="he-IL"/>
        </w:rPr>
        <w:t xml:space="preserve"> "הסדר כובל" מוגדר בסעיף 2 ל</w:t>
      </w:r>
      <w:r w:rsidR="00E97BDA" w:rsidRPr="00871C2C">
        <w:rPr>
          <w:rFonts w:eastAsia="Times New Roman"/>
          <w:rtl/>
          <w:lang w:eastAsia="he-IL"/>
        </w:rPr>
        <w:t xml:space="preserve">חוק ההגבלים העסקיים, </w:t>
      </w:r>
      <w:r w:rsidR="00685C96" w:rsidRPr="00871C2C">
        <w:rPr>
          <w:rFonts w:eastAsia="Times New Roman"/>
          <w:rtl/>
          <w:lang w:eastAsia="he-IL"/>
        </w:rPr>
        <w:t>באופן הבא:</w:t>
      </w:r>
    </w:p>
    <w:p w14:paraId="22AA8D92" w14:textId="34D54A02" w:rsidR="00685C96" w:rsidRPr="00871C2C" w:rsidRDefault="00B6081B" w:rsidP="00EB6135">
      <w:pPr>
        <w:pStyle w:val="p00"/>
        <w:bidi/>
        <w:spacing w:before="72" w:beforeAutospacing="0" w:after="0" w:afterAutospacing="0"/>
        <w:ind w:left="720" w:right="1134"/>
        <w:jc w:val="both"/>
        <w:rPr>
          <w:rFonts w:ascii="David" w:hAnsi="David" w:cs="David"/>
          <w:sz w:val="18"/>
          <w:szCs w:val="18"/>
        </w:rPr>
      </w:pPr>
      <w:r w:rsidRPr="00871C2C">
        <w:rPr>
          <w:rStyle w:val="default"/>
          <w:rFonts w:ascii="David" w:hAnsi="David" w:cs="David" w:hint="cs"/>
          <w:rtl/>
        </w:rPr>
        <w:t>"</w:t>
      </w:r>
      <w:r w:rsidR="00E97BDA" w:rsidRPr="00871C2C">
        <w:rPr>
          <w:rStyle w:val="default"/>
          <w:rFonts w:ascii="David" w:hAnsi="David" w:cs="David"/>
          <w:sz w:val="22"/>
          <w:szCs w:val="22"/>
          <w:rtl/>
        </w:rPr>
        <w:t>2</w:t>
      </w:r>
      <w:r w:rsidR="00685C96" w:rsidRPr="00871C2C">
        <w:rPr>
          <w:rStyle w:val="default"/>
          <w:rFonts w:ascii="David" w:hAnsi="David" w:cs="David"/>
          <w:rtl/>
        </w:rPr>
        <w:t>. (א)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w:t>
      </w:r>
      <w:r w:rsidR="008371F7" w:rsidRPr="00871C2C">
        <w:rPr>
          <w:rStyle w:val="default"/>
          <w:rFonts w:ascii="David" w:hAnsi="David" w:cs="David"/>
          <w:rtl/>
        </w:rPr>
        <w:t>ם שאינו צד להסדר</w:t>
      </w:r>
      <w:r w:rsidR="008371F7" w:rsidRPr="00871C2C">
        <w:rPr>
          <w:rStyle w:val="default"/>
          <w:rFonts w:ascii="David" w:hAnsi="David" w:cs="David" w:hint="cs"/>
          <w:rtl/>
        </w:rPr>
        <w:t>."</w:t>
      </w:r>
    </w:p>
    <w:p w14:paraId="0405DB75" w14:textId="00B435B8" w:rsidR="007E4F72" w:rsidRPr="00871C2C" w:rsidRDefault="007E4F72" w:rsidP="00E97E03">
      <w:pPr>
        <w:tabs>
          <w:tab w:val="left" w:pos="374"/>
        </w:tabs>
        <w:spacing w:before="120" w:after="120" w:line="360" w:lineRule="exact"/>
        <w:jc w:val="both"/>
        <w:rPr>
          <w:rFonts w:eastAsia="Times New Roman"/>
          <w:rtl/>
          <w:lang w:eastAsia="he-IL"/>
        </w:rPr>
      </w:pPr>
      <w:r w:rsidRPr="00871C2C">
        <w:rPr>
          <w:rFonts w:eastAsia="Times New Roman"/>
          <w:rtl/>
          <w:lang w:eastAsia="he-IL"/>
        </w:rPr>
        <w:lastRenderedPageBreak/>
        <w:t>לצד הגדרה רחבה ז</w:t>
      </w:r>
      <w:r w:rsidR="000C6294" w:rsidRPr="00871C2C">
        <w:rPr>
          <w:rFonts w:eastAsia="Times New Roman" w:hint="cs"/>
          <w:rtl/>
          <w:lang w:eastAsia="he-IL"/>
        </w:rPr>
        <w:t>את</w:t>
      </w:r>
      <w:r w:rsidRPr="00871C2C">
        <w:rPr>
          <w:rFonts w:eastAsia="Times New Roman"/>
          <w:rtl/>
          <w:lang w:eastAsia="he-IL"/>
        </w:rPr>
        <w:t xml:space="preserve">, סעיף 2(ב) </w:t>
      </w:r>
      <w:r w:rsidR="00E97E03" w:rsidRPr="00871C2C">
        <w:rPr>
          <w:rFonts w:eastAsia="Times New Roman" w:hint="cs"/>
          <w:rtl/>
          <w:lang w:eastAsia="he-IL"/>
        </w:rPr>
        <w:t xml:space="preserve">קובע שהסדר ייראה כהסדר כובל אם יש בו כבילה הנוגעת לאחד העניינים הבאים: </w:t>
      </w:r>
    </w:p>
    <w:p w14:paraId="4FC24D2D" w14:textId="2664544A" w:rsidR="007E4F72" w:rsidRPr="00871C2C" w:rsidRDefault="00E97E03" w:rsidP="009E38F5">
      <w:pPr>
        <w:pStyle w:val="p00"/>
        <w:tabs>
          <w:tab w:val="left" w:pos="1458"/>
        </w:tabs>
        <w:bidi/>
        <w:spacing w:before="0" w:beforeAutospacing="0" w:after="0" w:afterAutospacing="0"/>
        <w:ind w:left="720" w:right="1134"/>
        <w:jc w:val="both"/>
        <w:rPr>
          <w:rStyle w:val="default"/>
          <w:rFonts w:ascii="David" w:hAnsi="David" w:cs="David"/>
          <w:rtl/>
        </w:rPr>
      </w:pPr>
      <w:r w:rsidRPr="00871C2C">
        <w:rPr>
          <w:rStyle w:val="default"/>
          <w:rFonts w:ascii="David" w:hAnsi="David" w:cs="David" w:hint="cs"/>
          <w:rtl/>
        </w:rPr>
        <w:t>"</w:t>
      </w:r>
      <w:r w:rsidR="00C21251" w:rsidRPr="00871C2C">
        <w:rPr>
          <w:rStyle w:val="default"/>
          <w:rFonts w:ascii="David" w:hAnsi="David" w:cs="David"/>
          <w:rtl/>
        </w:rPr>
        <w:t>(1)</w:t>
      </w:r>
      <w:r w:rsidR="00C21251" w:rsidRPr="00871C2C">
        <w:rPr>
          <w:rStyle w:val="default"/>
          <w:rFonts w:ascii="David" w:hAnsi="David" w:cs="David" w:hint="cs"/>
          <w:rtl/>
        </w:rPr>
        <w:t xml:space="preserve"> </w:t>
      </w:r>
      <w:r w:rsidR="009E38F5" w:rsidRPr="00871C2C">
        <w:rPr>
          <w:rStyle w:val="default"/>
          <w:rFonts w:ascii="David" w:hAnsi="David" w:cs="David" w:hint="cs"/>
          <w:rtl/>
        </w:rPr>
        <w:tab/>
      </w:r>
      <w:r w:rsidR="007E4F72" w:rsidRPr="00871C2C">
        <w:rPr>
          <w:rStyle w:val="default"/>
          <w:rFonts w:ascii="David" w:hAnsi="David" w:cs="David"/>
          <w:rtl/>
        </w:rPr>
        <w:t>המחיר שיידרש, שיוצע או שישולם;</w:t>
      </w:r>
    </w:p>
    <w:p w14:paraId="6C17A4F7" w14:textId="72026C67" w:rsidR="007E4F72" w:rsidRPr="00871C2C" w:rsidRDefault="007E4F72" w:rsidP="009E38F5">
      <w:pPr>
        <w:pStyle w:val="p00"/>
        <w:tabs>
          <w:tab w:val="left" w:pos="1175"/>
        </w:tabs>
        <w:bidi/>
        <w:spacing w:before="0" w:beforeAutospacing="0" w:after="0" w:afterAutospacing="0"/>
        <w:ind w:left="720" w:right="1134"/>
        <w:jc w:val="both"/>
        <w:rPr>
          <w:rStyle w:val="default"/>
          <w:rFonts w:ascii="David" w:hAnsi="David" w:cs="David"/>
          <w:rtl/>
        </w:rPr>
      </w:pPr>
      <w:r w:rsidRPr="00871C2C">
        <w:rPr>
          <w:rStyle w:val="default"/>
          <w:rFonts w:ascii="David" w:hAnsi="David" w:cs="David"/>
          <w:rtl/>
        </w:rPr>
        <w:t>(2) </w:t>
      </w:r>
      <w:r w:rsidR="009E38F5" w:rsidRPr="00871C2C">
        <w:rPr>
          <w:rStyle w:val="default"/>
          <w:rFonts w:ascii="David" w:hAnsi="David" w:cs="David" w:hint="cs"/>
          <w:rtl/>
        </w:rPr>
        <w:tab/>
      </w:r>
      <w:r w:rsidR="009E38F5" w:rsidRPr="00871C2C">
        <w:rPr>
          <w:rStyle w:val="default"/>
          <w:rFonts w:ascii="David" w:hAnsi="David" w:cs="David" w:hint="cs"/>
          <w:rtl/>
        </w:rPr>
        <w:tab/>
      </w:r>
      <w:r w:rsidRPr="00871C2C">
        <w:rPr>
          <w:rStyle w:val="default"/>
          <w:rFonts w:ascii="David" w:hAnsi="David" w:cs="David"/>
          <w:rtl/>
        </w:rPr>
        <w:t>הריווח שיופק;</w:t>
      </w:r>
    </w:p>
    <w:p w14:paraId="62208DF7" w14:textId="6205A8BC" w:rsidR="007E4F72" w:rsidRPr="00871C2C" w:rsidRDefault="007E4F72" w:rsidP="00535CD3">
      <w:pPr>
        <w:pStyle w:val="p00"/>
        <w:bidi/>
        <w:spacing w:before="0" w:beforeAutospacing="0" w:after="0" w:afterAutospacing="0"/>
        <w:ind w:left="1440" w:right="1134" w:hanging="720"/>
        <w:jc w:val="both"/>
        <w:rPr>
          <w:rStyle w:val="default"/>
          <w:rFonts w:ascii="David" w:hAnsi="David" w:cs="David"/>
          <w:rtl/>
        </w:rPr>
      </w:pPr>
      <w:r w:rsidRPr="00871C2C">
        <w:rPr>
          <w:rStyle w:val="default"/>
          <w:rFonts w:ascii="David" w:hAnsi="David" w:cs="David"/>
          <w:rtl/>
        </w:rPr>
        <w:t>(3) </w:t>
      </w:r>
      <w:r w:rsidR="009E38F5" w:rsidRPr="00871C2C">
        <w:rPr>
          <w:rStyle w:val="default"/>
          <w:rFonts w:ascii="David" w:hAnsi="David" w:cs="David" w:hint="cs"/>
          <w:rtl/>
        </w:rPr>
        <w:tab/>
      </w:r>
      <w:r w:rsidRPr="00871C2C">
        <w:rPr>
          <w:rStyle w:val="default"/>
          <w:rFonts w:ascii="David" w:hAnsi="David" w:cs="David"/>
          <w:rtl/>
        </w:rPr>
        <w:t>חלוקת השוק, כולו או חלקו, לפי מקום העיסוק או לפי האנשים או סוג האנשים שעמם יעסקו;</w:t>
      </w:r>
    </w:p>
    <w:p w14:paraId="15F32ED9" w14:textId="0E271961" w:rsidR="007E4F72" w:rsidRPr="00871C2C" w:rsidRDefault="007E4F72" w:rsidP="009E38F5">
      <w:pPr>
        <w:pStyle w:val="p00"/>
        <w:bidi/>
        <w:spacing w:before="0" w:beforeAutospacing="0" w:after="0" w:afterAutospacing="0"/>
        <w:ind w:left="720" w:right="1134"/>
        <w:jc w:val="both"/>
        <w:rPr>
          <w:rStyle w:val="default"/>
          <w:rFonts w:ascii="David" w:hAnsi="David" w:cs="David"/>
          <w:rtl/>
        </w:rPr>
      </w:pPr>
      <w:r w:rsidRPr="00871C2C">
        <w:rPr>
          <w:rStyle w:val="default"/>
          <w:rFonts w:ascii="David" w:hAnsi="David" w:cs="David"/>
          <w:rtl/>
        </w:rPr>
        <w:t>(4) </w:t>
      </w:r>
      <w:r w:rsidR="009E38F5" w:rsidRPr="00871C2C">
        <w:rPr>
          <w:rStyle w:val="default"/>
          <w:rFonts w:ascii="David" w:hAnsi="David" w:cs="David" w:hint="cs"/>
          <w:rtl/>
        </w:rPr>
        <w:tab/>
      </w:r>
      <w:r w:rsidRPr="00871C2C">
        <w:rPr>
          <w:rStyle w:val="default"/>
          <w:rFonts w:ascii="David" w:hAnsi="David" w:cs="David"/>
          <w:rtl/>
        </w:rPr>
        <w:t>כמות הנכסים או השירותים שבעסק, איכותם או סוגם."</w:t>
      </w:r>
    </w:p>
    <w:p w14:paraId="2D5906D0" w14:textId="550780DC" w:rsidR="007E4F72" w:rsidRPr="00871C2C" w:rsidRDefault="00624BBB" w:rsidP="008643E7">
      <w:pPr>
        <w:tabs>
          <w:tab w:val="left" w:pos="374"/>
        </w:tabs>
        <w:spacing w:before="120" w:after="120" w:line="360" w:lineRule="exact"/>
        <w:jc w:val="both"/>
        <w:rPr>
          <w:rFonts w:eastAsia="Times New Roman"/>
          <w:rtl/>
          <w:lang w:eastAsia="he-IL"/>
        </w:rPr>
      </w:pPr>
      <w:r w:rsidRPr="00871C2C">
        <w:rPr>
          <w:rFonts w:eastAsia="Times New Roman" w:hint="cs"/>
          <w:rtl/>
          <w:lang w:eastAsia="he-IL"/>
        </w:rPr>
        <w:t>החזקות הקבועות בסעיף 2(ב) פורשו על ידי בית המשפט העליון כחזקות חלוטות</w:t>
      </w:r>
      <w:r w:rsidR="00043403" w:rsidRPr="00871C2C">
        <w:rPr>
          <w:rFonts w:eastAsia="Times New Roman" w:hint="cs"/>
          <w:rtl/>
          <w:lang w:eastAsia="he-IL"/>
        </w:rPr>
        <w:t>.</w:t>
      </w:r>
      <w:r w:rsidR="00043403" w:rsidRPr="00871C2C">
        <w:rPr>
          <w:rStyle w:val="FootnoteReference"/>
          <w:rFonts w:eastAsia="Times New Roman"/>
          <w:rtl/>
          <w:lang w:eastAsia="he-IL"/>
        </w:rPr>
        <w:footnoteReference w:id="6"/>
      </w:r>
      <w:r w:rsidRPr="00871C2C">
        <w:rPr>
          <w:rFonts w:eastAsia="Times New Roman" w:hint="cs"/>
          <w:rtl/>
          <w:lang w:eastAsia="he-IL"/>
        </w:rPr>
        <w:t xml:space="preserve"> </w:t>
      </w:r>
      <w:r w:rsidR="007E4F72" w:rsidRPr="00871C2C">
        <w:rPr>
          <w:rFonts w:eastAsia="Times New Roman"/>
          <w:rtl/>
          <w:lang w:eastAsia="he-IL"/>
        </w:rPr>
        <w:t xml:space="preserve">עד לאחרונה, </w:t>
      </w:r>
      <w:r w:rsidR="008643E7" w:rsidRPr="00871C2C">
        <w:rPr>
          <w:rFonts w:eastAsia="Times New Roman" w:hint="cs"/>
          <w:rtl/>
          <w:lang w:eastAsia="he-IL"/>
        </w:rPr>
        <w:t xml:space="preserve">על פי הפרשנות המקובלת </w:t>
      </w:r>
      <w:r w:rsidR="00332477" w:rsidRPr="00871C2C">
        <w:rPr>
          <w:rFonts w:eastAsia="Times New Roman" w:hint="cs"/>
          <w:rtl/>
          <w:lang w:eastAsia="he-IL"/>
        </w:rPr>
        <w:t>הוחל</w:t>
      </w:r>
      <w:r w:rsidR="003A2706" w:rsidRPr="00871C2C">
        <w:rPr>
          <w:rFonts w:eastAsia="Times New Roman"/>
          <w:rtl/>
          <w:lang w:eastAsia="he-IL"/>
        </w:rPr>
        <w:t xml:space="preserve"> סעיף 2</w:t>
      </w:r>
      <w:r w:rsidR="00332477" w:rsidRPr="00871C2C">
        <w:rPr>
          <w:rFonts w:eastAsia="Times New Roman" w:hint="cs"/>
          <w:rtl/>
          <w:lang w:eastAsia="he-IL"/>
        </w:rPr>
        <w:t>(ב)</w:t>
      </w:r>
      <w:r w:rsidR="003A2706" w:rsidRPr="00871C2C">
        <w:rPr>
          <w:rFonts w:eastAsia="Times New Roman"/>
          <w:rtl/>
          <w:lang w:eastAsia="he-IL"/>
        </w:rPr>
        <w:t xml:space="preserve"> לחוק</w:t>
      </w:r>
      <w:r w:rsidR="00CD407F" w:rsidRPr="00871C2C">
        <w:rPr>
          <w:rFonts w:eastAsia="Times New Roman" w:hint="cs"/>
          <w:rtl/>
          <w:lang w:eastAsia="he-IL"/>
        </w:rPr>
        <w:t xml:space="preserve"> גם </w:t>
      </w:r>
      <w:r w:rsidRPr="00871C2C">
        <w:rPr>
          <w:rFonts w:eastAsia="Times New Roman" w:hint="cs"/>
          <w:rtl/>
          <w:lang w:eastAsia="he-IL"/>
        </w:rPr>
        <w:t>על</w:t>
      </w:r>
      <w:r w:rsidR="009D29A6" w:rsidRPr="00871C2C">
        <w:rPr>
          <w:rFonts w:eastAsia="Times New Roman" w:hint="cs"/>
          <w:rtl/>
          <w:lang w:eastAsia="he-IL"/>
        </w:rPr>
        <w:t xml:space="preserve"> הסדרים אנכיים, היינו </w:t>
      </w:r>
      <w:r w:rsidR="007E4F72" w:rsidRPr="00871C2C">
        <w:rPr>
          <w:rFonts w:eastAsia="Times New Roman"/>
          <w:rtl/>
          <w:lang w:eastAsia="he-IL"/>
        </w:rPr>
        <w:t xml:space="preserve">הסדרים שבין גורמים </w:t>
      </w:r>
      <w:r w:rsidR="00A71A02" w:rsidRPr="00871C2C">
        <w:rPr>
          <w:rFonts w:eastAsia="Times New Roman" w:hint="cs"/>
          <w:rtl/>
          <w:lang w:eastAsia="he-IL"/>
        </w:rPr>
        <w:t xml:space="preserve">הפועלים </w:t>
      </w:r>
      <w:r w:rsidR="009D29A6" w:rsidRPr="00871C2C">
        <w:rPr>
          <w:rFonts w:eastAsia="Times New Roman"/>
          <w:rtl/>
          <w:lang w:eastAsia="he-IL"/>
        </w:rPr>
        <w:t>בשלבים שונים של שרשרת האספקה</w:t>
      </w:r>
      <w:r w:rsidR="00E46A40" w:rsidRPr="00871C2C">
        <w:rPr>
          <w:rFonts w:eastAsia="Times New Roman" w:hint="cs"/>
          <w:rtl/>
          <w:lang w:eastAsia="he-IL"/>
        </w:rPr>
        <w:t>.</w:t>
      </w:r>
      <w:r w:rsidR="00E46A40" w:rsidRPr="00871C2C">
        <w:rPr>
          <w:rStyle w:val="FootnoteReference"/>
          <w:rFonts w:eastAsia="Times New Roman"/>
          <w:rtl/>
          <w:lang w:eastAsia="he-IL"/>
        </w:rPr>
        <w:footnoteReference w:id="7"/>
      </w:r>
      <w:r w:rsidR="007E4F72" w:rsidRPr="00871C2C">
        <w:rPr>
          <w:rFonts w:eastAsia="Times New Roman"/>
          <w:rtl/>
          <w:lang w:eastAsia="he-IL"/>
        </w:rPr>
        <w:t xml:space="preserve"> משמעות הדבר </w:t>
      </w:r>
      <w:r w:rsidR="003A2706" w:rsidRPr="00871C2C">
        <w:rPr>
          <w:rFonts w:eastAsia="Times New Roman"/>
          <w:rtl/>
          <w:lang w:eastAsia="he-IL"/>
        </w:rPr>
        <w:t xml:space="preserve">הייתה </w:t>
      </w:r>
      <w:r w:rsidR="0041379E" w:rsidRPr="00871C2C">
        <w:rPr>
          <w:rFonts w:eastAsia="Times New Roman" w:hint="cs"/>
          <w:rtl/>
          <w:lang w:eastAsia="he-IL"/>
        </w:rPr>
        <w:t>שהסדרים אנכיים</w:t>
      </w:r>
      <w:r w:rsidR="00FC3037" w:rsidRPr="00871C2C">
        <w:rPr>
          <w:rFonts w:eastAsia="Times New Roman" w:hint="cs"/>
          <w:rtl/>
          <w:lang w:eastAsia="he-IL"/>
        </w:rPr>
        <w:t xml:space="preserve"> רבים</w:t>
      </w:r>
      <w:r w:rsidR="0041379E" w:rsidRPr="00871C2C">
        <w:rPr>
          <w:rFonts w:eastAsia="Times New Roman" w:hint="cs"/>
          <w:rtl/>
          <w:lang w:eastAsia="he-IL"/>
        </w:rPr>
        <w:t xml:space="preserve">, ובכללם </w:t>
      </w:r>
      <w:r w:rsidR="007E4F72" w:rsidRPr="00871C2C">
        <w:rPr>
          <w:rFonts w:eastAsia="Times New Roman"/>
          <w:rtl/>
          <w:lang w:eastAsia="he-IL"/>
        </w:rPr>
        <w:t xml:space="preserve">כל הסדר שעניינו כבילת מחיר </w:t>
      </w:r>
      <w:r w:rsidR="0034543F" w:rsidRPr="00871C2C">
        <w:rPr>
          <w:rFonts w:eastAsia="Times New Roman" w:hint="cs"/>
          <w:rtl/>
          <w:lang w:eastAsia="he-IL"/>
        </w:rPr>
        <w:t>אנכית</w:t>
      </w:r>
      <w:r w:rsidR="0041379E" w:rsidRPr="00871C2C">
        <w:rPr>
          <w:rFonts w:eastAsia="Times New Roman" w:hint="cs"/>
          <w:rtl/>
          <w:lang w:eastAsia="he-IL"/>
        </w:rPr>
        <w:t>,</w:t>
      </w:r>
      <w:r w:rsidR="0034543F" w:rsidRPr="00871C2C">
        <w:rPr>
          <w:rFonts w:eastAsia="Times New Roman" w:hint="cs"/>
          <w:rtl/>
          <w:lang w:eastAsia="he-IL"/>
        </w:rPr>
        <w:t xml:space="preserve"> </w:t>
      </w:r>
      <w:r w:rsidR="00817DBC" w:rsidRPr="00871C2C">
        <w:rPr>
          <w:rFonts w:eastAsia="Times New Roman" w:hint="cs"/>
          <w:rtl/>
          <w:lang w:eastAsia="he-IL"/>
        </w:rPr>
        <w:t xml:space="preserve">נלכדו </w:t>
      </w:r>
      <w:r w:rsidR="00D13D9C" w:rsidRPr="00871C2C">
        <w:rPr>
          <w:rFonts w:eastAsia="Times New Roman" w:hint="cs"/>
          <w:rtl/>
          <w:lang w:eastAsia="he-IL"/>
        </w:rPr>
        <w:t>ב</w:t>
      </w:r>
      <w:r w:rsidRPr="00871C2C">
        <w:rPr>
          <w:rFonts w:eastAsia="Times New Roman" w:hint="cs"/>
          <w:rtl/>
          <w:lang w:eastAsia="he-IL"/>
        </w:rPr>
        <w:t>חזקה החלוטה ש</w:t>
      </w:r>
      <w:r w:rsidR="009D29A6" w:rsidRPr="00871C2C">
        <w:rPr>
          <w:rFonts w:eastAsia="Times New Roman" w:hint="cs"/>
          <w:rtl/>
          <w:lang w:eastAsia="he-IL"/>
        </w:rPr>
        <w:t>ב</w:t>
      </w:r>
      <w:r w:rsidR="0034543F" w:rsidRPr="00871C2C">
        <w:rPr>
          <w:rFonts w:eastAsia="Times New Roman" w:hint="cs"/>
          <w:rtl/>
          <w:lang w:eastAsia="he-IL"/>
        </w:rPr>
        <w:t>סעיף 2(ב)(1) לחוק ו</w:t>
      </w:r>
      <w:r w:rsidR="009D29A6" w:rsidRPr="00871C2C">
        <w:rPr>
          <w:rFonts w:eastAsia="Times New Roman" w:hint="cs"/>
          <w:rtl/>
          <w:lang w:eastAsia="he-IL"/>
        </w:rPr>
        <w:t>הי</w:t>
      </w:r>
      <w:r w:rsidR="005D0B42" w:rsidRPr="00871C2C">
        <w:rPr>
          <w:rFonts w:eastAsia="Times New Roman" w:hint="cs"/>
          <w:rtl/>
          <w:lang w:eastAsia="he-IL"/>
        </w:rPr>
        <w:t>ו</w:t>
      </w:r>
      <w:r w:rsidR="009D29A6" w:rsidRPr="00871C2C">
        <w:rPr>
          <w:rFonts w:eastAsia="Times New Roman" w:hint="cs"/>
          <w:rtl/>
          <w:lang w:eastAsia="he-IL"/>
        </w:rPr>
        <w:t xml:space="preserve"> בגדר </w:t>
      </w:r>
      <w:r w:rsidR="009D29A6" w:rsidRPr="00871C2C">
        <w:rPr>
          <w:rFonts w:eastAsia="Times New Roman"/>
          <w:rtl/>
          <w:lang w:eastAsia="he-IL"/>
        </w:rPr>
        <w:t>הסדר</w:t>
      </w:r>
      <w:r w:rsidR="00CD407F" w:rsidRPr="00871C2C">
        <w:rPr>
          <w:rFonts w:eastAsia="Times New Roman" w:hint="cs"/>
          <w:rtl/>
          <w:lang w:eastAsia="he-IL"/>
        </w:rPr>
        <w:t>ים</w:t>
      </w:r>
      <w:r w:rsidR="009D29A6" w:rsidRPr="00871C2C">
        <w:rPr>
          <w:rFonts w:eastAsia="Times New Roman"/>
          <w:rtl/>
          <w:lang w:eastAsia="he-IL"/>
        </w:rPr>
        <w:t xml:space="preserve"> כוב</w:t>
      </w:r>
      <w:r w:rsidR="009D29A6" w:rsidRPr="00871C2C">
        <w:rPr>
          <w:rFonts w:eastAsia="Times New Roman" w:hint="cs"/>
          <w:rtl/>
          <w:lang w:eastAsia="he-IL"/>
        </w:rPr>
        <w:t>ל</w:t>
      </w:r>
      <w:r w:rsidR="00CD407F" w:rsidRPr="00871C2C">
        <w:rPr>
          <w:rFonts w:eastAsia="Times New Roman" w:hint="cs"/>
          <w:rtl/>
          <w:lang w:eastAsia="he-IL"/>
        </w:rPr>
        <w:t>ים</w:t>
      </w:r>
      <w:r w:rsidR="009D29A6" w:rsidRPr="00871C2C">
        <w:rPr>
          <w:rFonts w:eastAsia="Times New Roman" w:hint="cs"/>
          <w:rtl/>
          <w:lang w:eastAsia="he-IL"/>
        </w:rPr>
        <w:t>,</w:t>
      </w:r>
      <w:r w:rsidR="007E4F72" w:rsidRPr="00871C2C">
        <w:rPr>
          <w:rFonts w:eastAsia="Times New Roman"/>
          <w:rtl/>
          <w:lang w:eastAsia="he-IL"/>
        </w:rPr>
        <w:t xml:space="preserve"> האסור</w:t>
      </w:r>
      <w:r w:rsidR="00CD407F" w:rsidRPr="00871C2C">
        <w:rPr>
          <w:rFonts w:eastAsia="Times New Roman" w:hint="cs"/>
          <w:rtl/>
          <w:lang w:eastAsia="he-IL"/>
        </w:rPr>
        <w:t>ים</w:t>
      </w:r>
      <w:r w:rsidR="007E4F72" w:rsidRPr="00871C2C">
        <w:rPr>
          <w:rFonts w:eastAsia="Times New Roman"/>
          <w:rtl/>
          <w:lang w:eastAsia="he-IL"/>
        </w:rPr>
        <w:t xml:space="preserve"> </w:t>
      </w:r>
      <w:r w:rsidR="0034543F" w:rsidRPr="00871C2C">
        <w:rPr>
          <w:rFonts w:eastAsia="Times New Roman" w:hint="cs"/>
          <w:rtl/>
          <w:lang w:eastAsia="he-IL"/>
        </w:rPr>
        <w:t>אלא אם הותר</w:t>
      </w:r>
      <w:r w:rsidR="00CD407F" w:rsidRPr="00871C2C">
        <w:rPr>
          <w:rFonts w:eastAsia="Times New Roman" w:hint="cs"/>
          <w:rtl/>
          <w:lang w:eastAsia="he-IL"/>
        </w:rPr>
        <w:t>ו</w:t>
      </w:r>
      <w:r w:rsidR="00E315AA" w:rsidRPr="00871C2C">
        <w:rPr>
          <w:rFonts w:eastAsia="Times New Roman" w:hint="cs"/>
          <w:rtl/>
          <w:lang w:eastAsia="he-IL"/>
        </w:rPr>
        <w:t xml:space="preserve"> באחד מהמנגנונים שנקבעו בחוק</w:t>
      </w:r>
      <w:r w:rsidR="007E4F72" w:rsidRPr="00871C2C">
        <w:rPr>
          <w:rFonts w:eastAsia="Times New Roman"/>
          <w:rtl/>
          <w:lang w:eastAsia="he-IL"/>
        </w:rPr>
        <w:t>.</w:t>
      </w:r>
    </w:p>
    <w:p w14:paraId="3528B2E8" w14:textId="211BCBCE" w:rsidR="00A71A02" w:rsidRPr="00871C2C" w:rsidRDefault="00A71A02" w:rsidP="00C46E13">
      <w:pPr>
        <w:tabs>
          <w:tab w:val="left" w:pos="374"/>
        </w:tabs>
        <w:spacing w:before="120" w:after="120" w:line="360" w:lineRule="exact"/>
        <w:jc w:val="both"/>
        <w:rPr>
          <w:rFonts w:eastAsia="Times New Roman"/>
          <w:rtl/>
          <w:lang w:eastAsia="he-IL"/>
        </w:rPr>
      </w:pPr>
      <w:r w:rsidRPr="00871C2C">
        <w:rPr>
          <w:rFonts w:eastAsia="Times New Roman"/>
          <w:rtl/>
          <w:lang w:eastAsia="he-IL"/>
        </w:rPr>
        <w:t xml:space="preserve">במהלך השנים </w:t>
      </w:r>
      <w:r w:rsidR="00D13D9C" w:rsidRPr="00871C2C">
        <w:rPr>
          <w:rFonts w:eastAsia="Times New Roman" w:hint="cs"/>
          <w:rtl/>
          <w:lang w:eastAsia="he-IL"/>
        </w:rPr>
        <w:t>גברה הדע</w:t>
      </w:r>
      <w:r w:rsidR="00D440A7" w:rsidRPr="00871C2C">
        <w:rPr>
          <w:rFonts w:eastAsia="Times New Roman" w:hint="cs"/>
          <w:rtl/>
          <w:lang w:eastAsia="he-IL"/>
        </w:rPr>
        <w:t>ה</w:t>
      </w:r>
      <w:r w:rsidR="00D13D9C" w:rsidRPr="00871C2C">
        <w:rPr>
          <w:rFonts w:eastAsia="Times New Roman" w:hint="cs"/>
          <w:rtl/>
          <w:lang w:eastAsia="he-IL"/>
        </w:rPr>
        <w:t xml:space="preserve"> בספרות מקצועית</w:t>
      </w:r>
      <w:r w:rsidR="00B97AF9" w:rsidRPr="00871C2C">
        <w:rPr>
          <w:rFonts w:eastAsia="Times New Roman" w:hint="cs"/>
          <w:rtl/>
          <w:lang w:eastAsia="he-IL"/>
        </w:rPr>
        <w:t xml:space="preserve"> </w:t>
      </w:r>
      <w:r w:rsidRPr="00871C2C">
        <w:rPr>
          <w:rFonts w:eastAsia="Times New Roman"/>
          <w:rtl/>
          <w:lang w:eastAsia="he-IL"/>
        </w:rPr>
        <w:t>לפי</w:t>
      </w:r>
      <w:r w:rsidR="00D13D9C" w:rsidRPr="00871C2C">
        <w:rPr>
          <w:rFonts w:eastAsia="Times New Roman" w:hint="cs"/>
          <w:rtl/>
          <w:lang w:eastAsia="he-IL"/>
        </w:rPr>
        <w:t>ה</w:t>
      </w:r>
      <w:r w:rsidRPr="00871C2C">
        <w:rPr>
          <w:rFonts w:eastAsia="Times New Roman"/>
          <w:rtl/>
          <w:lang w:eastAsia="he-IL"/>
        </w:rPr>
        <w:t xml:space="preserve"> </w:t>
      </w:r>
      <w:r w:rsidRPr="00871C2C">
        <w:rPr>
          <w:rFonts w:eastAsia="Times New Roman" w:hint="cs"/>
          <w:rtl/>
          <w:lang w:eastAsia="he-IL"/>
        </w:rPr>
        <w:t>לא</w:t>
      </w:r>
      <w:r w:rsidRPr="00871C2C">
        <w:rPr>
          <w:rFonts w:eastAsia="Times New Roman"/>
          <w:rtl/>
          <w:lang w:eastAsia="he-IL"/>
        </w:rPr>
        <w:t xml:space="preserve"> ראוי להחיל </w:t>
      </w:r>
      <w:r w:rsidRPr="00871C2C">
        <w:rPr>
          <w:rFonts w:eastAsia="Times New Roman" w:hint="cs"/>
          <w:rtl/>
          <w:lang w:eastAsia="he-IL"/>
        </w:rPr>
        <w:t xml:space="preserve">את </w:t>
      </w:r>
      <w:r w:rsidRPr="00871C2C">
        <w:rPr>
          <w:rFonts w:eastAsia="Times New Roman"/>
          <w:rtl/>
          <w:lang w:eastAsia="he-IL"/>
        </w:rPr>
        <w:t>סעיף 2(ב) כמות שהוא על הסדרים אנכיים.</w:t>
      </w:r>
      <w:r w:rsidR="00D13D9C" w:rsidRPr="00871C2C">
        <w:rPr>
          <w:rStyle w:val="FootnoteReference"/>
          <w:rFonts w:eastAsia="Times New Roman"/>
          <w:rtl/>
          <w:lang w:eastAsia="he-IL"/>
        </w:rPr>
        <w:footnoteReference w:id="8"/>
      </w:r>
      <w:r w:rsidRPr="00871C2C">
        <w:rPr>
          <w:rFonts w:eastAsia="Times New Roman"/>
          <w:rtl/>
          <w:lang w:eastAsia="he-IL"/>
        </w:rPr>
        <w:t xml:space="preserve"> ביסוד תפיסה </w:t>
      </w:r>
      <w:r w:rsidR="00950197" w:rsidRPr="00871C2C">
        <w:rPr>
          <w:rFonts w:eastAsia="Times New Roman" w:hint="cs"/>
          <w:rtl/>
          <w:lang w:eastAsia="he-IL"/>
        </w:rPr>
        <w:t>זאת</w:t>
      </w:r>
      <w:r w:rsidR="00624BBB" w:rsidRPr="00871C2C">
        <w:rPr>
          <w:rFonts w:eastAsia="Times New Roman" w:hint="cs"/>
          <w:rtl/>
          <w:lang w:eastAsia="he-IL"/>
        </w:rPr>
        <w:t xml:space="preserve"> עמדה</w:t>
      </w:r>
      <w:r w:rsidRPr="00871C2C">
        <w:rPr>
          <w:rFonts w:eastAsia="Times New Roman" w:hint="cs"/>
          <w:rtl/>
          <w:lang w:eastAsia="he-IL"/>
        </w:rPr>
        <w:t xml:space="preserve"> </w:t>
      </w:r>
      <w:r w:rsidR="00637FC8" w:rsidRPr="00871C2C">
        <w:rPr>
          <w:rFonts w:eastAsia="Times New Roman" w:hint="cs"/>
          <w:rtl/>
          <w:lang w:eastAsia="he-IL"/>
        </w:rPr>
        <w:t>ה</w:t>
      </w:r>
      <w:r w:rsidRPr="00871C2C">
        <w:rPr>
          <w:rFonts w:eastAsia="Times New Roman" w:hint="cs"/>
          <w:rtl/>
          <w:lang w:eastAsia="he-IL"/>
        </w:rPr>
        <w:t>הבנה</w:t>
      </w:r>
      <w:r w:rsidR="00D440A7" w:rsidRPr="00871C2C">
        <w:rPr>
          <w:rFonts w:eastAsia="Times New Roman" w:hint="cs"/>
          <w:rtl/>
          <w:lang w:eastAsia="he-IL"/>
        </w:rPr>
        <w:t>,</w:t>
      </w:r>
      <w:r w:rsidRPr="00871C2C">
        <w:rPr>
          <w:rFonts w:eastAsia="Times New Roman" w:hint="cs"/>
          <w:rtl/>
          <w:lang w:eastAsia="he-IL"/>
        </w:rPr>
        <w:t xml:space="preserve"> כי הפרשנות המקובלת לסעיף 2(ב) לחוק</w:t>
      </w:r>
      <w:r w:rsidR="00C46E13" w:rsidRPr="00871C2C">
        <w:rPr>
          <w:rFonts w:eastAsia="Times New Roman" w:hint="cs"/>
          <w:rtl/>
          <w:lang w:eastAsia="he-IL"/>
        </w:rPr>
        <w:t xml:space="preserve"> </w:t>
      </w:r>
      <w:r w:rsidRPr="00871C2C">
        <w:rPr>
          <w:rFonts w:eastAsia="Times New Roman" w:hint="cs"/>
          <w:rtl/>
          <w:lang w:eastAsia="he-IL"/>
        </w:rPr>
        <w:t xml:space="preserve">מוציאה </w:t>
      </w:r>
      <w:r w:rsidRPr="00871C2C">
        <w:rPr>
          <w:rFonts w:eastAsia="Times New Roman"/>
          <w:rtl/>
          <w:lang w:eastAsia="he-IL"/>
        </w:rPr>
        <w:t>מעבר לגדרי המותר הסדרים רבים, הנערכים במשק מדי יום ביומו</w:t>
      </w:r>
      <w:r w:rsidRPr="00871C2C">
        <w:rPr>
          <w:rFonts w:eastAsia="Times New Roman" w:hint="cs"/>
          <w:rtl/>
          <w:lang w:eastAsia="he-IL"/>
        </w:rPr>
        <w:t>,</w:t>
      </w:r>
      <w:r w:rsidRPr="00871C2C">
        <w:rPr>
          <w:rFonts w:eastAsia="Times New Roman"/>
          <w:rtl/>
          <w:lang w:eastAsia="he-IL"/>
        </w:rPr>
        <w:t xml:space="preserve"> </w:t>
      </w:r>
      <w:r w:rsidRPr="00871C2C">
        <w:rPr>
          <w:rFonts w:eastAsia="Times New Roman" w:hint="cs"/>
          <w:rtl/>
          <w:lang w:eastAsia="he-IL"/>
        </w:rPr>
        <w:t xml:space="preserve">שאינם </w:t>
      </w:r>
      <w:r w:rsidRPr="00871C2C">
        <w:rPr>
          <w:rFonts w:eastAsia="Times New Roman"/>
          <w:rtl/>
          <w:lang w:eastAsia="he-IL"/>
        </w:rPr>
        <w:t>מעלים כל חשש לפגיעה בתחרות</w:t>
      </w:r>
      <w:r w:rsidR="00624BBB" w:rsidRPr="00871C2C">
        <w:rPr>
          <w:rFonts w:eastAsia="Times New Roman" w:hint="cs"/>
          <w:rtl/>
          <w:lang w:eastAsia="he-IL"/>
        </w:rPr>
        <w:t xml:space="preserve">, ובמקרים </w:t>
      </w:r>
      <w:r w:rsidR="00B35F20" w:rsidRPr="00871C2C">
        <w:rPr>
          <w:rFonts w:eastAsia="Times New Roman" w:hint="cs"/>
          <w:rtl/>
          <w:lang w:eastAsia="he-IL"/>
        </w:rPr>
        <w:t xml:space="preserve">רבים </w:t>
      </w:r>
      <w:r w:rsidR="00624BBB" w:rsidRPr="00871C2C">
        <w:rPr>
          <w:rFonts w:eastAsia="Times New Roman" w:hint="cs"/>
          <w:rtl/>
          <w:lang w:eastAsia="he-IL"/>
        </w:rPr>
        <w:t>אף</w:t>
      </w:r>
      <w:r w:rsidR="00E24F02" w:rsidRPr="00871C2C">
        <w:rPr>
          <w:rFonts w:eastAsia="Times New Roman" w:hint="cs"/>
          <w:rtl/>
          <w:lang w:eastAsia="he-IL"/>
        </w:rPr>
        <w:t xml:space="preserve"> </w:t>
      </w:r>
      <w:r w:rsidRPr="00871C2C">
        <w:rPr>
          <w:rFonts w:eastAsia="Times New Roman"/>
          <w:rtl/>
          <w:lang w:eastAsia="he-IL"/>
        </w:rPr>
        <w:t>תורמים לתחרות ולרווחת הצרכן.</w:t>
      </w:r>
      <w:r w:rsidRPr="00871C2C">
        <w:rPr>
          <w:rFonts w:eastAsia="Times New Roman" w:hint="cs"/>
          <w:rtl/>
          <w:lang w:eastAsia="he-IL"/>
        </w:rPr>
        <w:t xml:space="preserve"> </w:t>
      </w:r>
      <w:r w:rsidRPr="00871C2C">
        <w:rPr>
          <w:rFonts w:eastAsia="Times New Roman"/>
          <w:rtl/>
          <w:lang w:eastAsia="he-IL"/>
        </w:rPr>
        <w:t xml:space="preserve">בשנת </w:t>
      </w:r>
      <w:r w:rsidRPr="00871C2C">
        <w:rPr>
          <w:rFonts w:eastAsia="Times New Roman" w:hint="cs"/>
          <w:rtl/>
          <w:lang w:eastAsia="he-IL"/>
        </w:rPr>
        <w:t>2004</w:t>
      </w:r>
      <w:r w:rsidRPr="00871C2C">
        <w:rPr>
          <w:rFonts w:eastAsia="Times New Roman"/>
          <w:rtl/>
          <w:lang w:eastAsia="he-IL"/>
        </w:rPr>
        <w:t xml:space="preserve">, העלה בית המשפט העליון את האפשרות שלא להחיל את החזקות החלוטות </w:t>
      </w:r>
      <w:r w:rsidRPr="00871C2C">
        <w:rPr>
          <w:rFonts w:eastAsia="Times New Roman" w:hint="cs"/>
          <w:rtl/>
          <w:lang w:eastAsia="he-IL"/>
        </w:rPr>
        <w:t xml:space="preserve">שבסעיף 2(ב) </w:t>
      </w:r>
      <w:r w:rsidRPr="00871C2C">
        <w:rPr>
          <w:rFonts w:eastAsia="Times New Roman"/>
          <w:rtl/>
          <w:lang w:eastAsia="he-IL"/>
        </w:rPr>
        <w:t xml:space="preserve">על הסדרים אנכיים, אך הסוגיה </w:t>
      </w:r>
      <w:r w:rsidRPr="00871C2C">
        <w:rPr>
          <w:rFonts w:eastAsia="Times New Roman" w:hint="cs"/>
          <w:rtl/>
          <w:lang w:eastAsia="he-IL"/>
        </w:rPr>
        <w:t xml:space="preserve">נותרה </w:t>
      </w:r>
      <w:r w:rsidR="00D440A7" w:rsidRPr="00871C2C">
        <w:rPr>
          <w:rFonts w:eastAsia="Times New Roman" w:hint="cs"/>
          <w:rtl/>
          <w:lang w:eastAsia="he-IL"/>
        </w:rPr>
        <w:t>ללא הכרעה</w:t>
      </w:r>
      <w:r w:rsidRPr="00871C2C">
        <w:rPr>
          <w:rFonts w:eastAsia="Times New Roman"/>
          <w:rtl/>
          <w:lang w:eastAsia="he-IL"/>
        </w:rPr>
        <w:t>.</w:t>
      </w:r>
      <w:r w:rsidRPr="00871C2C">
        <w:rPr>
          <w:rStyle w:val="FootnoteReference"/>
          <w:rFonts w:eastAsia="Times New Roman"/>
          <w:rtl/>
          <w:lang w:eastAsia="he-IL"/>
        </w:rPr>
        <w:footnoteReference w:id="9"/>
      </w:r>
    </w:p>
    <w:p w14:paraId="4B671415" w14:textId="3B7F85AC" w:rsidR="00F3622A" w:rsidRPr="00871C2C" w:rsidRDefault="00A71A02" w:rsidP="00C46E13">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במהלך השנים, </w:t>
      </w:r>
      <w:r w:rsidR="00D32873" w:rsidRPr="00871C2C">
        <w:rPr>
          <w:rFonts w:eastAsia="Times New Roman" w:hint="cs"/>
          <w:rtl/>
          <w:lang w:eastAsia="he-IL"/>
        </w:rPr>
        <w:t xml:space="preserve">חלק </w:t>
      </w:r>
      <w:r w:rsidR="00D440A7" w:rsidRPr="00871C2C">
        <w:rPr>
          <w:rFonts w:eastAsia="Times New Roman" w:hint="cs"/>
          <w:rtl/>
          <w:lang w:eastAsia="he-IL"/>
        </w:rPr>
        <w:t xml:space="preserve">משמעותי </w:t>
      </w:r>
      <w:r w:rsidR="00D32873" w:rsidRPr="00871C2C">
        <w:rPr>
          <w:rFonts w:eastAsia="Times New Roman" w:hint="cs"/>
          <w:rtl/>
          <w:lang w:eastAsia="he-IL"/>
        </w:rPr>
        <w:t>מה</w:t>
      </w:r>
      <w:r w:rsidR="007672D9" w:rsidRPr="00871C2C">
        <w:rPr>
          <w:rFonts w:eastAsia="Times New Roman" w:hint="cs"/>
          <w:rtl/>
          <w:lang w:eastAsia="he-IL"/>
        </w:rPr>
        <w:t xml:space="preserve">הסדרים </w:t>
      </w:r>
      <w:r w:rsidR="00D32873" w:rsidRPr="00871C2C">
        <w:rPr>
          <w:rFonts w:eastAsia="Times New Roman" w:hint="cs"/>
          <w:rtl/>
          <w:lang w:eastAsia="he-IL"/>
        </w:rPr>
        <w:t>האנכיים הותר על ידי הממונה על הגבלים עסקיים (להלן: "</w:t>
      </w:r>
      <w:r w:rsidR="00D32873" w:rsidRPr="00871C2C">
        <w:rPr>
          <w:rFonts w:eastAsia="Times New Roman" w:hint="cs"/>
          <w:b/>
          <w:bCs/>
          <w:rtl/>
          <w:lang w:eastAsia="he-IL"/>
        </w:rPr>
        <w:t>הממונה</w:t>
      </w:r>
      <w:r w:rsidR="00D32873" w:rsidRPr="00871C2C">
        <w:rPr>
          <w:rFonts w:eastAsia="Times New Roman" w:hint="cs"/>
          <w:rtl/>
          <w:lang w:eastAsia="he-IL"/>
        </w:rPr>
        <w:t xml:space="preserve">") במסגרת </w:t>
      </w:r>
      <w:r w:rsidR="005D0B42" w:rsidRPr="00871C2C">
        <w:rPr>
          <w:rFonts w:eastAsia="Times New Roman" w:hint="cs"/>
          <w:rtl/>
          <w:lang w:eastAsia="he-IL"/>
        </w:rPr>
        <w:t>פטור</w:t>
      </w:r>
      <w:r w:rsidR="00C46E13" w:rsidRPr="00871C2C">
        <w:rPr>
          <w:rFonts w:eastAsia="Times New Roman" w:hint="cs"/>
          <w:rtl/>
          <w:lang w:eastAsia="he-IL"/>
        </w:rPr>
        <w:t>י</w:t>
      </w:r>
      <w:r w:rsidR="005D0B42" w:rsidRPr="00871C2C">
        <w:rPr>
          <w:rFonts w:eastAsia="Times New Roman" w:hint="cs"/>
          <w:rtl/>
          <w:lang w:eastAsia="he-IL"/>
        </w:rPr>
        <w:t xml:space="preserve"> סוג שונים</w:t>
      </w:r>
      <w:r w:rsidR="00D32873" w:rsidRPr="00871C2C">
        <w:rPr>
          <w:rFonts w:eastAsia="Times New Roman" w:hint="cs"/>
          <w:rtl/>
          <w:lang w:eastAsia="he-IL"/>
        </w:rPr>
        <w:t xml:space="preserve"> שנקבעו </w:t>
      </w:r>
      <w:r w:rsidR="008E5E30" w:rsidRPr="00871C2C">
        <w:rPr>
          <w:rFonts w:eastAsia="Times New Roman" w:hint="cs"/>
          <w:rtl/>
          <w:lang w:eastAsia="he-IL"/>
        </w:rPr>
        <w:t xml:space="preserve">לאורך השנים </w:t>
      </w:r>
      <w:r w:rsidR="00D32873" w:rsidRPr="00871C2C">
        <w:rPr>
          <w:rFonts w:eastAsia="Times New Roman" w:hint="cs"/>
          <w:rtl/>
          <w:lang w:eastAsia="he-IL"/>
        </w:rPr>
        <w:t xml:space="preserve">מכוח סעיף 15א לחוק, ובכפוף לתנאים </w:t>
      </w:r>
      <w:r w:rsidR="008E5E30" w:rsidRPr="00871C2C">
        <w:rPr>
          <w:rFonts w:eastAsia="Times New Roman" w:hint="cs"/>
          <w:rtl/>
          <w:lang w:eastAsia="he-IL"/>
        </w:rPr>
        <w:t xml:space="preserve">הקבועים </w:t>
      </w:r>
      <w:r w:rsidR="00D32873" w:rsidRPr="00871C2C">
        <w:rPr>
          <w:rFonts w:eastAsia="Times New Roman" w:hint="cs"/>
          <w:rtl/>
          <w:lang w:eastAsia="he-IL"/>
        </w:rPr>
        <w:t>בהם. בפרט, נקבעו פטורי סוג ביחס להסכמי רכישה בלעדית,</w:t>
      </w:r>
      <w:r w:rsidR="00D32873" w:rsidRPr="00871C2C">
        <w:rPr>
          <w:rStyle w:val="FootnoteReference"/>
          <w:rFonts w:eastAsia="Times New Roman"/>
          <w:rtl/>
          <w:lang w:eastAsia="he-IL"/>
        </w:rPr>
        <w:footnoteReference w:id="10"/>
      </w:r>
      <w:r w:rsidR="00D32873" w:rsidRPr="00871C2C">
        <w:rPr>
          <w:rFonts w:eastAsia="Times New Roman" w:hint="cs"/>
          <w:rtl/>
          <w:lang w:eastAsia="he-IL"/>
        </w:rPr>
        <w:t xml:space="preserve"> הסכמי הפצה בלעדית,</w:t>
      </w:r>
      <w:r w:rsidR="00D32873" w:rsidRPr="00871C2C">
        <w:rPr>
          <w:rStyle w:val="FootnoteReference"/>
          <w:rFonts w:eastAsia="Times New Roman"/>
          <w:rtl/>
          <w:lang w:eastAsia="he-IL"/>
        </w:rPr>
        <w:footnoteReference w:id="11"/>
      </w:r>
      <w:r w:rsidR="00D32873" w:rsidRPr="00871C2C">
        <w:rPr>
          <w:rFonts w:eastAsia="Times New Roman" w:hint="cs"/>
          <w:rtl/>
          <w:lang w:eastAsia="he-IL"/>
        </w:rPr>
        <w:t xml:space="preserve"> הסכמי זכיינות</w:t>
      </w:r>
      <w:r w:rsidR="00D32873" w:rsidRPr="00871C2C">
        <w:rPr>
          <w:rStyle w:val="FootnoteReference"/>
          <w:rFonts w:eastAsia="Times New Roman"/>
          <w:rtl/>
          <w:lang w:eastAsia="he-IL"/>
        </w:rPr>
        <w:footnoteReference w:id="12"/>
      </w:r>
      <w:r w:rsidR="00D32873" w:rsidRPr="00871C2C">
        <w:rPr>
          <w:rFonts w:eastAsia="Times New Roman" w:hint="cs"/>
          <w:rtl/>
          <w:lang w:eastAsia="he-IL"/>
        </w:rPr>
        <w:t xml:space="preserve"> והסכמים שפגיעתם בתחרות קלת ערך.</w:t>
      </w:r>
      <w:r w:rsidR="00D32873" w:rsidRPr="00871C2C">
        <w:rPr>
          <w:rStyle w:val="FootnoteReference"/>
          <w:rFonts w:eastAsia="Times New Roman"/>
          <w:rtl/>
          <w:lang w:eastAsia="he-IL"/>
        </w:rPr>
        <w:footnoteReference w:id="13"/>
      </w:r>
      <w:r w:rsidR="00D32873" w:rsidRPr="00871C2C">
        <w:rPr>
          <w:rFonts w:eastAsia="Times New Roman" w:hint="cs"/>
          <w:rtl/>
          <w:lang w:eastAsia="he-IL"/>
        </w:rPr>
        <w:t xml:space="preserve"> </w:t>
      </w:r>
    </w:p>
    <w:p w14:paraId="3EA3BFDB" w14:textId="2961C967" w:rsidR="004134A7" w:rsidRPr="00871C2C" w:rsidRDefault="004134A7" w:rsidP="00E00D64">
      <w:pPr>
        <w:tabs>
          <w:tab w:val="left" w:pos="374"/>
        </w:tabs>
        <w:spacing w:before="120" w:after="120" w:line="360" w:lineRule="exact"/>
        <w:jc w:val="both"/>
        <w:rPr>
          <w:rFonts w:eastAsia="Times New Roman"/>
          <w:rtl/>
          <w:lang w:eastAsia="he-IL"/>
        </w:rPr>
      </w:pPr>
      <w:r w:rsidRPr="00871C2C">
        <w:rPr>
          <w:rFonts w:eastAsia="Times New Roman"/>
          <w:rtl/>
          <w:lang w:eastAsia="he-IL"/>
        </w:rPr>
        <w:lastRenderedPageBreak/>
        <w:t xml:space="preserve">בשנת 2013 </w:t>
      </w:r>
      <w:r w:rsidR="007964EA" w:rsidRPr="00871C2C">
        <w:rPr>
          <w:rFonts w:eastAsia="Times New Roman" w:hint="cs"/>
          <w:rtl/>
          <w:lang w:eastAsia="he-IL"/>
        </w:rPr>
        <w:t xml:space="preserve">פרסם </w:t>
      </w:r>
      <w:r w:rsidR="007672D9" w:rsidRPr="00871C2C">
        <w:rPr>
          <w:rFonts w:eastAsia="Times New Roman" w:hint="cs"/>
          <w:rtl/>
          <w:lang w:eastAsia="he-IL"/>
        </w:rPr>
        <w:t>הממונה</w:t>
      </w:r>
      <w:r w:rsidR="009D4FE4" w:rsidRPr="00871C2C">
        <w:rPr>
          <w:rFonts w:eastAsia="Times New Roman" w:hint="cs"/>
          <w:rtl/>
          <w:lang w:eastAsia="he-IL"/>
        </w:rPr>
        <w:t xml:space="preserve"> את</w:t>
      </w:r>
      <w:r w:rsidR="007672D9" w:rsidRPr="00871C2C">
        <w:rPr>
          <w:rFonts w:eastAsia="Times New Roman" w:hint="cs"/>
          <w:rtl/>
          <w:lang w:eastAsia="he-IL"/>
        </w:rPr>
        <w:t xml:space="preserve"> </w:t>
      </w:r>
      <w:r w:rsidR="00475EE4" w:rsidRPr="00871C2C">
        <w:rPr>
          <w:rFonts w:eastAsia="Times New Roman" w:hint="cs"/>
          <w:rtl/>
          <w:lang w:eastAsia="he-IL"/>
        </w:rPr>
        <w:t xml:space="preserve">פטור </w:t>
      </w:r>
      <w:r w:rsidR="009D4FE4" w:rsidRPr="00871C2C">
        <w:rPr>
          <w:rFonts w:eastAsia="Times New Roman" w:hint="cs"/>
          <w:rtl/>
          <w:lang w:eastAsia="he-IL"/>
        </w:rPr>
        <w:t>ה</w:t>
      </w:r>
      <w:r w:rsidR="00475EE4" w:rsidRPr="00871C2C">
        <w:rPr>
          <w:rFonts w:eastAsia="Times New Roman" w:hint="cs"/>
          <w:rtl/>
          <w:lang w:eastAsia="he-IL"/>
        </w:rPr>
        <w:t>סוג להסדרים שאינם בין מתחרים</w:t>
      </w:r>
      <w:r w:rsidR="008371F7" w:rsidRPr="00871C2C">
        <w:rPr>
          <w:rFonts w:eastAsia="Times New Roman" w:hint="cs"/>
          <w:rtl/>
          <w:lang w:eastAsia="he-IL"/>
        </w:rPr>
        <w:t xml:space="preserve">, אשר על פיו </w:t>
      </w:r>
      <w:r w:rsidR="004C4DAA" w:rsidRPr="00871C2C">
        <w:rPr>
          <w:rFonts w:eastAsia="Times New Roman"/>
          <w:rtl/>
          <w:lang w:eastAsia="he-IL"/>
        </w:rPr>
        <w:t>צדדים להסדרים שאינם אופקיים</w:t>
      </w:r>
      <w:r w:rsidR="00F711AC" w:rsidRPr="00871C2C">
        <w:rPr>
          <w:rFonts w:eastAsia="Times New Roman" w:hint="cs"/>
          <w:rtl/>
          <w:lang w:eastAsia="he-IL"/>
        </w:rPr>
        <w:t xml:space="preserve"> </w:t>
      </w:r>
      <w:r w:rsidR="0098609F" w:rsidRPr="00871C2C">
        <w:rPr>
          <w:rFonts w:eastAsia="Times New Roman" w:hint="cs"/>
          <w:rtl/>
          <w:lang w:eastAsia="he-IL"/>
        </w:rPr>
        <w:t xml:space="preserve">ושאינם </w:t>
      </w:r>
      <w:r w:rsidR="00FC7C59" w:rsidRPr="00871C2C">
        <w:rPr>
          <w:rFonts w:eastAsia="Times New Roman" w:hint="cs"/>
          <w:rtl/>
          <w:lang w:eastAsia="he-IL"/>
        </w:rPr>
        <w:t xml:space="preserve">כוללים </w:t>
      </w:r>
      <w:r w:rsidR="002A448B" w:rsidRPr="00871C2C">
        <w:rPr>
          <w:rFonts w:eastAsia="Times New Roman" w:hint="cs"/>
          <w:rtl/>
          <w:lang w:eastAsia="he-IL"/>
        </w:rPr>
        <w:t xml:space="preserve">כבילות מחיר </w:t>
      </w:r>
      <w:r w:rsidR="004C4DAA" w:rsidRPr="00871C2C">
        <w:rPr>
          <w:rFonts w:eastAsia="Times New Roman"/>
          <w:rtl/>
          <w:lang w:eastAsia="he-IL"/>
        </w:rPr>
        <w:t xml:space="preserve">פטורים מהחובה לקבל את אישור בית הדין </w:t>
      </w:r>
      <w:r w:rsidR="009D29A6" w:rsidRPr="00871C2C">
        <w:rPr>
          <w:rFonts w:eastAsia="Times New Roman"/>
          <w:rtl/>
          <w:lang w:eastAsia="he-IL"/>
        </w:rPr>
        <w:t>להסדר</w:t>
      </w:r>
      <w:r w:rsidR="009D29A6" w:rsidRPr="00871C2C">
        <w:rPr>
          <w:rFonts w:eastAsia="Times New Roman" w:hint="cs"/>
          <w:rtl/>
          <w:lang w:eastAsia="he-IL"/>
        </w:rPr>
        <w:t xml:space="preserve">. </w:t>
      </w:r>
      <w:r w:rsidR="005D0B42" w:rsidRPr="00871C2C">
        <w:rPr>
          <w:rFonts w:eastAsia="Times New Roman" w:hint="cs"/>
          <w:rtl/>
          <w:lang w:eastAsia="he-IL"/>
        </w:rPr>
        <w:t xml:space="preserve">זאת בתנאי </w:t>
      </w:r>
      <w:r w:rsidR="003B6736" w:rsidRPr="00871C2C">
        <w:rPr>
          <w:rFonts w:eastAsia="Times New Roman" w:hint="cs"/>
          <w:rtl/>
          <w:lang w:eastAsia="he-IL"/>
        </w:rPr>
        <w:t>שההסדר עומד בתנאים הקבועים בסעיף 14(א) לחוק בעניין סמכות הממונה לתת פטור</w:t>
      </w:r>
      <w:r w:rsidR="008A4CF3" w:rsidRPr="00871C2C">
        <w:rPr>
          <w:rFonts w:eastAsia="Times New Roman"/>
          <w:rtl/>
          <w:lang w:eastAsia="he-IL"/>
        </w:rPr>
        <w:t>.</w:t>
      </w:r>
      <w:r w:rsidR="00817DBC" w:rsidRPr="00871C2C">
        <w:rPr>
          <w:rStyle w:val="FootnoteReference"/>
          <w:rFonts w:eastAsia="Times New Roman"/>
          <w:rtl/>
          <w:lang w:eastAsia="he-IL"/>
        </w:rPr>
        <w:footnoteReference w:id="14"/>
      </w:r>
      <w:r w:rsidR="008A4CF3" w:rsidRPr="00871C2C">
        <w:rPr>
          <w:rFonts w:eastAsia="Times New Roman"/>
          <w:rtl/>
          <w:lang w:eastAsia="he-IL"/>
        </w:rPr>
        <w:t xml:space="preserve"> </w:t>
      </w:r>
      <w:r w:rsidRPr="00871C2C">
        <w:rPr>
          <w:rFonts w:eastAsia="Times New Roman"/>
          <w:rtl/>
          <w:lang w:eastAsia="he-IL"/>
        </w:rPr>
        <w:t xml:space="preserve">תוצאתו המעשית של פטור הסוג </w:t>
      </w:r>
      <w:r w:rsidR="00E00D64" w:rsidRPr="00871C2C">
        <w:rPr>
          <w:rFonts w:eastAsia="Times New Roman" w:hint="cs"/>
          <w:rtl/>
          <w:lang w:eastAsia="he-IL"/>
        </w:rPr>
        <w:t>להסדרים שאינם בין מתחרים</w:t>
      </w:r>
      <w:r w:rsidR="005D0B42" w:rsidRPr="00871C2C">
        <w:rPr>
          <w:rFonts w:eastAsia="Times New Roman" w:hint="cs"/>
          <w:rtl/>
          <w:lang w:eastAsia="he-IL"/>
        </w:rPr>
        <w:t xml:space="preserve"> </w:t>
      </w:r>
      <w:r w:rsidRPr="00871C2C">
        <w:rPr>
          <w:rFonts w:eastAsia="Times New Roman"/>
          <w:rtl/>
          <w:lang w:eastAsia="he-IL"/>
        </w:rPr>
        <w:t>הייתה</w:t>
      </w:r>
      <w:r w:rsidR="008A4CF3" w:rsidRPr="00871C2C">
        <w:rPr>
          <w:rFonts w:eastAsia="Times New Roman"/>
          <w:rtl/>
          <w:lang w:eastAsia="he-IL"/>
        </w:rPr>
        <w:t xml:space="preserve"> </w:t>
      </w:r>
      <w:r w:rsidR="003B6736" w:rsidRPr="00871C2C">
        <w:rPr>
          <w:rFonts w:eastAsia="Times New Roman" w:hint="cs"/>
          <w:rtl/>
          <w:lang w:eastAsia="he-IL"/>
        </w:rPr>
        <w:t>להחיל על מרבית הכבילות האנכיות מתווה של "הערכה עצמית" (</w:t>
      </w:r>
      <w:r w:rsidR="003B6736" w:rsidRPr="00871C2C">
        <w:rPr>
          <w:rFonts w:eastAsia="Times New Roman"/>
          <w:lang w:eastAsia="he-IL"/>
        </w:rPr>
        <w:t>self-assessment</w:t>
      </w:r>
      <w:r w:rsidR="003B6736" w:rsidRPr="00871C2C">
        <w:rPr>
          <w:rFonts w:eastAsia="Times New Roman" w:hint="cs"/>
          <w:rtl/>
          <w:lang w:eastAsia="he-IL"/>
        </w:rPr>
        <w:t>) על ידי הצדדים להסדר</w:t>
      </w:r>
      <w:r w:rsidR="00F711AC" w:rsidRPr="00871C2C">
        <w:rPr>
          <w:rFonts w:eastAsia="Times New Roman" w:hint="cs"/>
          <w:rtl/>
          <w:lang w:eastAsia="he-IL"/>
        </w:rPr>
        <w:t xml:space="preserve">. אולם, הסדרים שעניינים </w:t>
      </w:r>
      <w:r w:rsidR="009D4FE4" w:rsidRPr="00871C2C">
        <w:rPr>
          <w:rFonts w:eastAsia="Times New Roman"/>
          <w:lang w:eastAsia="he-IL"/>
        </w:rPr>
        <w:t>RPM</w:t>
      </w:r>
      <w:r w:rsidR="009D4FE4" w:rsidRPr="00871C2C">
        <w:rPr>
          <w:rFonts w:eastAsia="Times New Roman" w:hint="cs"/>
          <w:rtl/>
          <w:lang w:eastAsia="he-IL"/>
        </w:rPr>
        <w:t xml:space="preserve"> </w:t>
      </w:r>
      <w:r w:rsidR="00F711AC" w:rsidRPr="00871C2C">
        <w:rPr>
          <w:rFonts w:eastAsia="Times New Roman" w:hint="cs"/>
          <w:rtl/>
          <w:lang w:eastAsia="he-IL"/>
        </w:rPr>
        <w:t>הוחרגו במפורש מתחולתו של פטור הסוג, כך שמעמדם</w:t>
      </w:r>
      <w:r w:rsidR="008643E7" w:rsidRPr="00871C2C">
        <w:rPr>
          <w:rFonts w:eastAsia="Times New Roman" w:hint="cs"/>
          <w:rtl/>
          <w:lang w:eastAsia="he-IL"/>
        </w:rPr>
        <w:t xml:space="preserve"> על פי הפרשנות המקובלת</w:t>
      </w:r>
      <w:r w:rsidR="00F711AC" w:rsidRPr="00871C2C">
        <w:rPr>
          <w:rFonts w:eastAsia="Times New Roman" w:hint="cs"/>
          <w:rtl/>
          <w:lang w:eastAsia="he-IL"/>
        </w:rPr>
        <w:t xml:space="preserve"> היה כמעמדם של ההסדרים האופקיים: אסורים אלא אם התקבל בגינם היתר פרטני. </w:t>
      </w:r>
    </w:p>
    <w:p w14:paraId="2B040E8D" w14:textId="0E166AA5" w:rsidR="0034543F" w:rsidRPr="00871C2C" w:rsidRDefault="007E4F72" w:rsidP="00D13D9C">
      <w:pPr>
        <w:tabs>
          <w:tab w:val="left" w:pos="374"/>
        </w:tabs>
        <w:spacing w:before="120" w:after="120" w:line="360" w:lineRule="exact"/>
        <w:jc w:val="both"/>
        <w:rPr>
          <w:rFonts w:eastAsia="Times New Roman"/>
          <w:rtl/>
          <w:lang w:eastAsia="he-IL"/>
        </w:rPr>
      </w:pPr>
      <w:r w:rsidRPr="00871C2C">
        <w:rPr>
          <w:rFonts w:eastAsia="Times New Roman"/>
          <w:rtl/>
          <w:lang w:eastAsia="he-IL"/>
        </w:rPr>
        <w:t xml:space="preserve">בשנת 2015, </w:t>
      </w:r>
      <w:r w:rsidR="008A4CF3" w:rsidRPr="00871C2C">
        <w:rPr>
          <w:rFonts w:eastAsia="Times New Roman"/>
          <w:rtl/>
          <w:lang w:eastAsia="he-IL"/>
        </w:rPr>
        <w:t>הושלמה ה</w:t>
      </w:r>
      <w:r w:rsidRPr="00871C2C">
        <w:rPr>
          <w:rFonts w:eastAsia="Times New Roman"/>
          <w:rtl/>
          <w:lang w:eastAsia="he-IL"/>
        </w:rPr>
        <w:t xml:space="preserve">תפנית </w:t>
      </w:r>
      <w:r w:rsidR="004724F5" w:rsidRPr="00871C2C">
        <w:rPr>
          <w:rFonts w:eastAsia="Times New Roman"/>
          <w:rtl/>
          <w:lang w:eastAsia="he-IL"/>
        </w:rPr>
        <w:t>בגישת הדין הישראלי להסדרים אנכיים</w:t>
      </w:r>
      <w:r w:rsidR="003A2706" w:rsidRPr="00871C2C">
        <w:rPr>
          <w:rFonts w:eastAsia="Times New Roman"/>
          <w:rtl/>
          <w:lang w:eastAsia="he-IL"/>
        </w:rPr>
        <w:t xml:space="preserve"> ב</w:t>
      </w:r>
      <w:r w:rsidR="004C4DAA" w:rsidRPr="00871C2C">
        <w:rPr>
          <w:rFonts w:eastAsia="Times New Roman"/>
          <w:rtl/>
          <w:lang w:eastAsia="he-IL"/>
        </w:rPr>
        <w:t xml:space="preserve">מסגרת </w:t>
      </w:r>
      <w:r w:rsidR="004724F5" w:rsidRPr="00871C2C">
        <w:rPr>
          <w:rFonts w:eastAsia="Times New Roman"/>
          <w:rtl/>
          <w:lang w:eastAsia="he-IL"/>
        </w:rPr>
        <w:t xml:space="preserve">פסק </w:t>
      </w:r>
      <w:r w:rsidR="003A2706" w:rsidRPr="00871C2C">
        <w:rPr>
          <w:rFonts w:eastAsia="Times New Roman"/>
          <w:rtl/>
          <w:lang w:eastAsia="he-IL"/>
        </w:rPr>
        <w:t xml:space="preserve">הדין של בית המשפט העליון </w:t>
      </w:r>
      <w:r w:rsidR="00D13D9C" w:rsidRPr="00871C2C">
        <w:rPr>
          <w:rFonts w:eastAsia="Times New Roman" w:hint="cs"/>
          <w:rtl/>
          <w:lang w:eastAsia="he-IL"/>
        </w:rPr>
        <w:t>בפרשת</w:t>
      </w:r>
      <w:r w:rsidR="00D13D9C" w:rsidRPr="00871C2C">
        <w:rPr>
          <w:rFonts w:eastAsia="Times New Roman"/>
          <w:rtl/>
          <w:lang w:eastAsia="he-IL"/>
        </w:rPr>
        <w:t xml:space="preserve"> </w:t>
      </w:r>
      <w:r w:rsidR="004724F5" w:rsidRPr="00871C2C">
        <w:rPr>
          <w:rFonts w:eastAsia="Times New Roman"/>
          <w:rtl/>
          <w:lang w:eastAsia="he-IL"/>
        </w:rPr>
        <w:t>שופרסל</w:t>
      </w:r>
      <w:r w:rsidR="003B251A" w:rsidRPr="00871C2C">
        <w:rPr>
          <w:rFonts w:eastAsia="Times New Roman" w:hint="cs"/>
          <w:rtl/>
          <w:lang w:eastAsia="he-IL"/>
        </w:rPr>
        <w:t xml:space="preserve">, בו נקבע </w:t>
      </w:r>
      <w:r w:rsidR="004724F5" w:rsidRPr="00871C2C">
        <w:rPr>
          <w:rFonts w:eastAsia="Times New Roman"/>
          <w:rtl/>
          <w:lang w:eastAsia="he-IL"/>
        </w:rPr>
        <w:t>כי</w:t>
      </w:r>
      <w:r w:rsidR="005D0B42" w:rsidRPr="00871C2C">
        <w:rPr>
          <w:rFonts w:eastAsia="Times New Roman" w:hint="cs"/>
          <w:rtl/>
          <w:lang w:eastAsia="he-IL"/>
        </w:rPr>
        <w:t>,</w:t>
      </w:r>
      <w:r w:rsidR="004724F5" w:rsidRPr="00871C2C">
        <w:rPr>
          <w:rFonts w:eastAsia="Times New Roman"/>
          <w:rtl/>
          <w:lang w:eastAsia="he-IL"/>
        </w:rPr>
        <w:t xml:space="preserve"> ככלל</w:t>
      </w:r>
      <w:r w:rsidR="005D0B42" w:rsidRPr="00871C2C">
        <w:rPr>
          <w:rFonts w:eastAsia="Times New Roman" w:hint="cs"/>
          <w:rtl/>
          <w:lang w:eastAsia="he-IL"/>
        </w:rPr>
        <w:t>,</w:t>
      </w:r>
      <w:r w:rsidR="004724F5" w:rsidRPr="00871C2C">
        <w:rPr>
          <w:rFonts w:eastAsia="Times New Roman"/>
          <w:rtl/>
          <w:lang w:eastAsia="he-IL"/>
        </w:rPr>
        <w:t xml:space="preserve"> יש לבחון הסדרים אנכיים בהתאם לסעיף 2(א) לחוק ולא בהתאם לסעיף 2(ב).</w:t>
      </w:r>
      <w:r w:rsidR="0034543F" w:rsidRPr="00871C2C">
        <w:rPr>
          <w:rFonts w:eastAsia="Times New Roman" w:hint="cs"/>
          <w:rtl/>
          <w:lang w:eastAsia="he-IL"/>
        </w:rPr>
        <w:t xml:space="preserve"> </w:t>
      </w:r>
    </w:p>
    <w:p w14:paraId="55AEF078" w14:textId="42665A57" w:rsidR="00B1173C" w:rsidRPr="00871C2C" w:rsidRDefault="00E472BE" w:rsidP="00C46E13">
      <w:pPr>
        <w:tabs>
          <w:tab w:val="left" w:pos="374"/>
        </w:tabs>
        <w:spacing w:before="120" w:after="120" w:line="360" w:lineRule="exact"/>
        <w:jc w:val="both"/>
        <w:rPr>
          <w:rFonts w:eastAsia="Times New Roman"/>
          <w:rtl/>
          <w:lang w:eastAsia="he-IL"/>
        </w:rPr>
      </w:pPr>
      <w:r w:rsidRPr="00871C2C">
        <w:rPr>
          <w:rFonts w:eastAsia="Times New Roman"/>
          <w:rtl/>
          <w:lang w:eastAsia="he-IL"/>
        </w:rPr>
        <w:t xml:space="preserve">במסגרת פסק הדין, עמד </w:t>
      </w:r>
      <w:r w:rsidR="004724F5" w:rsidRPr="00871C2C">
        <w:rPr>
          <w:rFonts w:eastAsia="Times New Roman"/>
          <w:rtl/>
          <w:lang w:eastAsia="he-IL"/>
        </w:rPr>
        <w:t xml:space="preserve">בית </w:t>
      </w:r>
      <w:r w:rsidR="003B251A" w:rsidRPr="00871C2C">
        <w:rPr>
          <w:rFonts w:eastAsia="Times New Roman" w:hint="cs"/>
          <w:rtl/>
          <w:lang w:eastAsia="he-IL"/>
        </w:rPr>
        <w:t>המשפט</w:t>
      </w:r>
      <w:r w:rsidR="004724F5" w:rsidRPr="00871C2C">
        <w:rPr>
          <w:rFonts w:eastAsia="Times New Roman"/>
          <w:rtl/>
          <w:lang w:eastAsia="he-IL"/>
        </w:rPr>
        <w:t xml:space="preserve"> העליון</w:t>
      </w:r>
      <w:r w:rsidR="003A2706" w:rsidRPr="00871C2C">
        <w:rPr>
          <w:rFonts w:eastAsia="Times New Roman"/>
          <w:rtl/>
          <w:lang w:eastAsia="he-IL"/>
        </w:rPr>
        <w:t xml:space="preserve"> </w:t>
      </w:r>
      <w:r w:rsidR="004C4DAA" w:rsidRPr="00871C2C">
        <w:rPr>
          <w:rFonts w:eastAsia="Times New Roman"/>
          <w:rtl/>
          <w:lang w:eastAsia="he-IL"/>
        </w:rPr>
        <w:t xml:space="preserve">על </w:t>
      </w:r>
      <w:r w:rsidR="003A2706" w:rsidRPr="00871C2C">
        <w:rPr>
          <w:rFonts w:eastAsia="Times New Roman"/>
          <w:rtl/>
          <w:lang w:eastAsia="he-IL"/>
        </w:rPr>
        <w:t>ה</w:t>
      </w:r>
      <w:r w:rsidR="00FC2F88" w:rsidRPr="00871C2C">
        <w:rPr>
          <w:rFonts w:eastAsia="Times New Roman"/>
          <w:rtl/>
          <w:lang w:eastAsia="he-IL"/>
        </w:rPr>
        <w:t xml:space="preserve">הבדלים בין הסדרים אנכיים </w:t>
      </w:r>
      <w:r w:rsidR="003B251A" w:rsidRPr="00871C2C">
        <w:rPr>
          <w:rFonts w:eastAsia="Times New Roman" w:hint="cs"/>
          <w:rtl/>
          <w:lang w:eastAsia="he-IL"/>
        </w:rPr>
        <w:t xml:space="preserve">לבין הסדרים </w:t>
      </w:r>
      <w:r w:rsidR="00FC2F88" w:rsidRPr="00871C2C">
        <w:rPr>
          <w:rFonts w:eastAsia="Times New Roman"/>
          <w:rtl/>
          <w:lang w:eastAsia="he-IL"/>
        </w:rPr>
        <w:t xml:space="preserve">אופקיים, מבחינת שכיחותם, החששות שהם מעלים לפגיעה בתחרות והתועלות התחרותיות שעשויות להיות בהם. </w:t>
      </w:r>
      <w:r w:rsidR="004C4DAA" w:rsidRPr="00871C2C">
        <w:rPr>
          <w:rFonts w:eastAsia="Times New Roman"/>
          <w:rtl/>
          <w:lang w:eastAsia="he-IL"/>
        </w:rPr>
        <w:t xml:space="preserve">כפי שהסביר כב' השופט הנדל, מטרתן של </w:t>
      </w:r>
      <w:r w:rsidR="00FC2F88" w:rsidRPr="00871C2C">
        <w:rPr>
          <w:rFonts w:eastAsia="Times New Roman"/>
          <w:rtl/>
          <w:lang w:eastAsia="he-IL"/>
        </w:rPr>
        <w:t>החזקות החלוטות</w:t>
      </w:r>
      <w:r w:rsidR="004C4DAA" w:rsidRPr="00871C2C">
        <w:rPr>
          <w:rFonts w:eastAsia="Times New Roman"/>
          <w:rtl/>
          <w:lang w:eastAsia="he-IL"/>
        </w:rPr>
        <w:t>, על פי דברי ההסבר לחוק,</w:t>
      </w:r>
      <w:r w:rsidR="00FC2F88" w:rsidRPr="00871C2C">
        <w:rPr>
          <w:rFonts w:eastAsia="Times New Roman"/>
          <w:rtl/>
          <w:lang w:eastAsia="he-IL"/>
        </w:rPr>
        <w:t xml:space="preserve"> </w:t>
      </w:r>
      <w:r w:rsidR="00E91211" w:rsidRPr="00871C2C">
        <w:rPr>
          <w:rFonts w:eastAsia="Times New Roman" w:hint="cs"/>
          <w:rtl/>
          <w:lang w:eastAsia="he-IL"/>
        </w:rPr>
        <w:t xml:space="preserve">היא </w:t>
      </w:r>
      <w:r w:rsidR="00FC2F88" w:rsidRPr="00871C2C">
        <w:rPr>
          <w:rFonts w:eastAsia="Times New Roman"/>
          <w:rtl/>
          <w:lang w:eastAsia="he-IL"/>
        </w:rPr>
        <w:t>לתפוס מקרים בהם "השלכת ההסדר בין הצדדים על צמצום התחרות אינה מוטלת בספק"</w:t>
      </w:r>
      <w:r w:rsidR="00FC2F88" w:rsidRPr="00871C2C">
        <w:rPr>
          <w:rStyle w:val="FootnoteReference"/>
          <w:rFonts w:eastAsia="Times New Roman"/>
          <w:rtl/>
          <w:lang w:eastAsia="he-IL"/>
        </w:rPr>
        <w:footnoteReference w:id="15"/>
      </w:r>
      <w:r w:rsidR="003B6736" w:rsidRPr="00871C2C">
        <w:rPr>
          <w:rFonts w:eastAsia="Times New Roman" w:hint="cs"/>
          <w:rtl/>
          <w:lang w:eastAsia="he-IL"/>
        </w:rPr>
        <w:t xml:space="preserve"> </w:t>
      </w:r>
      <w:r w:rsidR="003B6736" w:rsidRPr="00871C2C">
        <w:rPr>
          <w:rFonts w:eastAsia="Times New Roman"/>
          <w:rtl/>
          <w:lang w:eastAsia="he-IL"/>
        </w:rPr>
        <w:t>–</w:t>
      </w:r>
      <w:r w:rsidR="004C4DAA" w:rsidRPr="00871C2C">
        <w:rPr>
          <w:rFonts w:eastAsia="Times New Roman"/>
          <w:rtl/>
          <w:lang w:eastAsia="he-IL"/>
        </w:rPr>
        <w:t xml:space="preserve"> </w:t>
      </w:r>
      <w:r w:rsidR="0034543F" w:rsidRPr="00871C2C">
        <w:rPr>
          <w:rFonts w:eastAsia="Times New Roman" w:hint="cs"/>
          <w:rtl/>
          <w:lang w:eastAsia="he-IL"/>
        </w:rPr>
        <w:t xml:space="preserve">הנחה </w:t>
      </w:r>
      <w:r w:rsidR="005E08D5" w:rsidRPr="00871C2C">
        <w:rPr>
          <w:rFonts w:eastAsia="Times New Roman" w:hint="cs"/>
          <w:rtl/>
          <w:lang w:eastAsia="he-IL"/>
        </w:rPr>
        <w:t xml:space="preserve">שאינה </w:t>
      </w:r>
      <w:r w:rsidR="00637FC8" w:rsidRPr="00871C2C">
        <w:rPr>
          <w:rFonts w:eastAsia="Times New Roman" w:hint="cs"/>
          <w:rtl/>
          <w:lang w:eastAsia="he-IL"/>
        </w:rPr>
        <w:t xml:space="preserve">בהכרח </w:t>
      </w:r>
      <w:r w:rsidR="005E08D5" w:rsidRPr="00871C2C">
        <w:rPr>
          <w:rFonts w:eastAsia="Times New Roman" w:hint="cs"/>
          <w:rtl/>
          <w:lang w:eastAsia="he-IL"/>
        </w:rPr>
        <w:t>מבוססת כאשר מדובר בהסדר אנכי. כן מצא בית המשפט העליון כי הסדרים אנכיים עשויים דווקא לתרום לתחרות ולרווחה החברתית, כך ש</w:t>
      </w:r>
      <w:r w:rsidR="003B251A" w:rsidRPr="00871C2C">
        <w:rPr>
          <w:rFonts w:eastAsia="Times New Roman" w:hint="cs"/>
          <w:rtl/>
          <w:lang w:eastAsia="he-IL"/>
        </w:rPr>
        <w:t xml:space="preserve">החלת סעיף 2(ב) ביחס </w:t>
      </w:r>
      <w:r w:rsidR="00C46E13" w:rsidRPr="00871C2C">
        <w:rPr>
          <w:rFonts w:eastAsia="Times New Roman" w:hint="cs"/>
          <w:rtl/>
          <w:lang w:eastAsia="he-IL"/>
        </w:rPr>
        <w:t xml:space="preserve">אליהם </w:t>
      </w:r>
      <w:r w:rsidR="005E08D5" w:rsidRPr="00871C2C">
        <w:rPr>
          <w:rFonts w:eastAsia="Times New Roman" w:hint="cs"/>
          <w:rtl/>
          <w:lang w:eastAsia="he-IL"/>
        </w:rPr>
        <w:t xml:space="preserve">עלולה שלא לשרת </w:t>
      </w:r>
      <w:r w:rsidR="003B251A" w:rsidRPr="00871C2C">
        <w:rPr>
          <w:rFonts w:eastAsia="Times New Roman" w:hint="cs"/>
          <w:rtl/>
          <w:lang w:eastAsia="he-IL"/>
        </w:rPr>
        <w:t xml:space="preserve">את תכליות החוק. כלשון </w:t>
      </w:r>
      <w:r w:rsidR="00D82DCA" w:rsidRPr="00871C2C">
        <w:rPr>
          <w:rFonts w:eastAsia="Times New Roman" w:hint="cs"/>
          <w:rtl/>
          <w:lang w:eastAsia="he-IL"/>
        </w:rPr>
        <w:t xml:space="preserve">המשנה לנשיאה, </w:t>
      </w:r>
      <w:r w:rsidR="003B251A" w:rsidRPr="00871C2C">
        <w:rPr>
          <w:rFonts w:eastAsia="Times New Roman" w:hint="cs"/>
          <w:rtl/>
          <w:lang w:eastAsia="he-IL"/>
        </w:rPr>
        <w:t>כב' השופט רובנשטיין</w:t>
      </w:r>
      <w:r w:rsidR="004134A7" w:rsidRPr="00871C2C">
        <w:rPr>
          <w:rFonts w:eastAsia="Times New Roman"/>
          <w:rtl/>
          <w:lang w:eastAsia="he-IL"/>
        </w:rPr>
        <w:t>:</w:t>
      </w:r>
      <w:r w:rsidR="00B1173C" w:rsidRPr="00871C2C">
        <w:rPr>
          <w:rFonts w:eastAsia="Times New Roman"/>
          <w:rtl/>
          <w:lang w:eastAsia="he-IL"/>
        </w:rPr>
        <w:t xml:space="preserve"> </w:t>
      </w:r>
    </w:p>
    <w:p w14:paraId="334BFCBE" w14:textId="084C2656" w:rsidR="004134A7" w:rsidRPr="00871C2C" w:rsidRDefault="00B1173C" w:rsidP="00D24400">
      <w:pPr>
        <w:tabs>
          <w:tab w:val="left" w:pos="374"/>
        </w:tabs>
        <w:spacing w:before="120" w:after="120" w:line="240" w:lineRule="auto"/>
        <w:ind w:left="720" w:right="1134"/>
        <w:jc w:val="both"/>
        <w:rPr>
          <w:rFonts w:eastAsia="Times New Roman"/>
          <w:rtl/>
          <w:lang w:eastAsia="he-IL"/>
        </w:rPr>
      </w:pPr>
      <w:r w:rsidRPr="00871C2C">
        <w:rPr>
          <w:rFonts w:eastAsia="Times New Roman"/>
          <w:rtl/>
          <w:lang w:eastAsia="he-IL"/>
        </w:rPr>
        <w:t>"</w:t>
      </w:r>
      <w:r w:rsidR="00D24400" w:rsidRPr="00871C2C">
        <w:rPr>
          <w:rFonts w:eastAsia="Times New Roman" w:hint="cs"/>
          <w:rtl/>
          <w:lang w:eastAsia="he-IL"/>
        </w:rPr>
        <w:t>כ</w:t>
      </w:r>
      <w:r w:rsidR="009D4FE4" w:rsidRPr="00871C2C">
        <w:rPr>
          <w:rFonts w:eastAsia="Times New Roman" w:hint="cs"/>
          <w:rtl/>
          <w:lang w:eastAsia="he-IL"/>
        </w:rPr>
        <w:t>פי</w:t>
      </w:r>
      <w:r w:rsidR="009D4FE4" w:rsidRPr="00871C2C">
        <w:rPr>
          <w:rFonts w:eastAsia="Times New Roman"/>
          <w:rtl/>
          <w:lang w:eastAsia="he-IL"/>
        </w:rPr>
        <w:t xml:space="preserve"> </w:t>
      </w:r>
      <w:r w:rsidR="009D4FE4" w:rsidRPr="00871C2C">
        <w:rPr>
          <w:rFonts w:eastAsia="Times New Roman" w:hint="cs"/>
          <w:rtl/>
          <w:lang w:eastAsia="he-IL"/>
        </w:rPr>
        <w:t>שעולה</w:t>
      </w:r>
      <w:r w:rsidR="009D4FE4" w:rsidRPr="00871C2C">
        <w:rPr>
          <w:rFonts w:eastAsia="Times New Roman"/>
          <w:rtl/>
          <w:lang w:eastAsia="he-IL"/>
        </w:rPr>
        <w:t xml:space="preserve"> </w:t>
      </w:r>
      <w:r w:rsidR="009D4FE4" w:rsidRPr="00871C2C">
        <w:rPr>
          <w:rFonts w:eastAsia="Times New Roman" w:hint="cs"/>
          <w:rtl/>
          <w:lang w:eastAsia="he-IL"/>
        </w:rPr>
        <w:t>הן</w:t>
      </w:r>
      <w:r w:rsidR="009D4FE4" w:rsidRPr="00871C2C">
        <w:rPr>
          <w:rFonts w:eastAsia="Times New Roman"/>
          <w:rtl/>
          <w:lang w:eastAsia="he-IL"/>
        </w:rPr>
        <w:t xml:space="preserve"> </w:t>
      </w:r>
      <w:r w:rsidR="009D4FE4" w:rsidRPr="00871C2C">
        <w:rPr>
          <w:rFonts w:eastAsia="Times New Roman" w:hint="cs"/>
          <w:rtl/>
          <w:lang w:eastAsia="he-IL"/>
        </w:rPr>
        <w:t>מהספרות</w:t>
      </w:r>
      <w:r w:rsidR="009D4FE4" w:rsidRPr="00871C2C">
        <w:rPr>
          <w:rFonts w:eastAsia="Times New Roman"/>
          <w:rtl/>
          <w:lang w:eastAsia="he-IL"/>
        </w:rPr>
        <w:t xml:space="preserve"> </w:t>
      </w:r>
      <w:r w:rsidR="009D4FE4" w:rsidRPr="00871C2C">
        <w:rPr>
          <w:rFonts w:eastAsia="Times New Roman" w:hint="cs"/>
          <w:rtl/>
          <w:lang w:eastAsia="he-IL"/>
        </w:rPr>
        <w:t>והן</w:t>
      </w:r>
      <w:r w:rsidR="009D4FE4" w:rsidRPr="00871C2C">
        <w:rPr>
          <w:rFonts w:eastAsia="Times New Roman"/>
          <w:rtl/>
          <w:lang w:eastAsia="he-IL"/>
        </w:rPr>
        <w:t xml:space="preserve"> </w:t>
      </w:r>
      <w:r w:rsidR="009D4FE4" w:rsidRPr="00871C2C">
        <w:rPr>
          <w:rFonts w:eastAsia="Times New Roman" w:hint="cs"/>
          <w:rtl/>
          <w:lang w:eastAsia="he-IL"/>
        </w:rPr>
        <w:t>מהפסיקה</w:t>
      </w:r>
      <w:r w:rsidR="009D4FE4" w:rsidRPr="00871C2C">
        <w:rPr>
          <w:rFonts w:eastAsia="Times New Roman"/>
          <w:rtl/>
          <w:lang w:eastAsia="he-IL"/>
        </w:rPr>
        <w:t xml:space="preserve"> </w:t>
      </w:r>
      <w:r w:rsidR="009D4FE4" w:rsidRPr="00871C2C">
        <w:rPr>
          <w:rFonts w:eastAsia="Times New Roman" w:hint="cs"/>
          <w:rtl/>
          <w:lang w:eastAsia="he-IL"/>
        </w:rPr>
        <w:t>הזרה</w:t>
      </w:r>
      <w:r w:rsidR="009D4FE4" w:rsidRPr="00871C2C">
        <w:rPr>
          <w:rFonts w:eastAsia="Times New Roman"/>
          <w:rtl/>
          <w:lang w:eastAsia="he-IL"/>
        </w:rPr>
        <w:t xml:space="preserve">, </w:t>
      </w:r>
      <w:r w:rsidR="009D4FE4" w:rsidRPr="00871C2C">
        <w:rPr>
          <w:rFonts w:eastAsia="Times New Roman" w:hint="cs"/>
          <w:rtl/>
          <w:lang w:eastAsia="he-IL"/>
        </w:rPr>
        <w:t>הטלת</w:t>
      </w:r>
      <w:r w:rsidR="009D4FE4" w:rsidRPr="00871C2C">
        <w:rPr>
          <w:rFonts w:eastAsia="Times New Roman"/>
          <w:rtl/>
          <w:lang w:eastAsia="he-IL"/>
        </w:rPr>
        <w:t xml:space="preserve"> </w:t>
      </w:r>
      <w:r w:rsidR="009D4FE4" w:rsidRPr="00871C2C">
        <w:rPr>
          <w:rFonts w:eastAsia="Times New Roman" w:hint="cs"/>
          <w:rtl/>
          <w:lang w:eastAsia="he-IL"/>
        </w:rPr>
        <w:t>איסור</w:t>
      </w:r>
      <w:r w:rsidR="009D4FE4" w:rsidRPr="00871C2C">
        <w:rPr>
          <w:rFonts w:eastAsia="Times New Roman"/>
          <w:rtl/>
          <w:lang w:eastAsia="he-IL"/>
        </w:rPr>
        <w:t xml:space="preserve"> </w:t>
      </w:r>
      <w:r w:rsidR="009D4FE4" w:rsidRPr="00871C2C">
        <w:rPr>
          <w:rFonts w:eastAsia="Times New Roman"/>
          <w:i/>
          <w:iCs/>
          <w:lang w:eastAsia="he-IL"/>
        </w:rPr>
        <w:t>per se</w:t>
      </w:r>
      <w:r w:rsidR="009D4FE4" w:rsidRPr="00871C2C">
        <w:rPr>
          <w:rFonts w:eastAsia="Times New Roman"/>
          <w:rtl/>
          <w:lang w:eastAsia="he-IL"/>
        </w:rPr>
        <w:t xml:space="preserve"> – </w:t>
      </w:r>
      <w:r w:rsidR="009D4FE4" w:rsidRPr="00871C2C">
        <w:rPr>
          <w:rFonts w:eastAsia="Times New Roman" w:hint="cs"/>
          <w:rtl/>
          <w:lang w:eastAsia="he-IL"/>
        </w:rPr>
        <w:t>שזו</w:t>
      </w:r>
      <w:r w:rsidR="009D4FE4" w:rsidRPr="00871C2C">
        <w:rPr>
          <w:rFonts w:eastAsia="Times New Roman"/>
          <w:rtl/>
          <w:lang w:eastAsia="he-IL"/>
        </w:rPr>
        <w:t xml:space="preserve"> </w:t>
      </w:r>
      <w:r w:rsidR="009D4FE4" w:rsidRPr="00871C2C">
        <w:rPr>
          <w:rFonts w:eastAsia="Times New Roman" w:hint="cs"/>
          <w:rtl/>
          <w:lang w:eastAsia="he-IL"/>
        </w:rPr>
        <w:t>למעשה</w:t>
      </w:r>
      <w:r w:rsidR="009D4FE4" w:rsidRPr="00871C2C">
        <w:rPr>
          <w:rFonts w:eastAsia="Times New Roman"/>
          <w:rtl/>
          <w:lang w:eastAsia="he-IL"/>
        </w:rPr>
        <w:t xml:space="preserve"> </w:t>
      </w:r>
      <w:r w:rsidR="009D4FE4" w:rsidRPr="00871C2C">
        <w:rPr>
          <w:rFonts w:eastAsia="Times New Roman" w:hint="cs"/>
          <w:rtl/>
          <w:lang w:eastAsia="he-IL"/>
        </w:rPr>
        <w:t>תוצאת</w:t>
      </w:r>
      <w:r w:rsidR="009D4FE4" w:rsidRPr="00871C2C">
        <w:rPr>
          <w:rFonts w:eastAsia="Times New Roman"/>
          <w:rtl/>
          <w:lang w:eastAsia="he-IL"/>
        </w:rPr>
        <w:t xml:space="preserve"> </w:t>
      </w:r>
      <w:r w:rsidR="009D4FE4" w:rsidRPr="00871C2C">
        <w:rPr>
          <w:rFonts w:eastAsia="Times New Roman" w:hint="cs"/>
          <w:rtl/>
          <w:lang w:eastAsia="he-IL"/>
        </w:rPr>
        <w:t>החלתן</w:t>
      </w:r>
      <w:r w:rsidR="009D4FE4" w:rsidRPr="00871C2C">
        <w:rPr>
          <w:rFonts w:eastAsia="Times New Roman"/>
          <w:rtl/>
          <w:lang w:eastAsia="he-IL"/>
        </w:rPr>
        <w:t xml:space="preserve"> </w:t>
      </w:r>
      <w:r w:rsidR="009D4FE4" w:rsidRPr="00871C2C">
        <w:rPr>
          <w:rFonts w:eastAsia="Times New Roman" w:hint="cs"/>
          <w:rtl/>
          <w:lang w:eastAsia="he-IL"/>
        </w:rPr>
        <w:t>של</w:t>
      </w:r>
      <w:r w:rsidR="009D4FE4" w:rsidRPr="00871C2C">
        <w:rPr>
          <w:rFonts w:eastAsia="Times New Roman"/>
          <w:rtl/>
          <w:lang w:eastAsia="he-IL"/>
        </w:rPr>
        <w:t xml:space="preserve"> </w:t>
      </w:r>
      <w:r w:rsidR="009D4FE4" w:rsidRPr="00871C2C">
        <w:rPr>
          <w:rFonts w:eastAsia="Times New Roman" w:hint="cs"/>
          <w:rtl/>
          <w:lang w:eastAsia="he-IL"/>
        </w:rPr>
        <w:t>החזקות</w:t>
      </w:r>
      <w:r w:rsidR="009D4FE4" w:rsidRPr="00871C2C">
        <w:rPr>
          <w:rFonts w:eastAsia="Times New Roman"/>
          <w:rtl/>
          <w:lang w:eastAsia="he-IL"/>
        </w:rPr>
        <w:t xml:space="preserve"> </w:t>
      </w:r>
      <w:r w:rsidR="009D4FE4" w:rsidRPr="00871C2C">
        <w:rPr>
          <w:rFonts w:eastAsia="Times New Roman" w:hint="cs"/>
          <w:rtl/>
          <w:lang w:eastAsia="he-IL"/>
        </w:rPr>
        <w:t>החלוטות</w:t>
      </w:r>
      <w:r w:rsidR="009D4FE4" w:rsidRPr="00871C2C">
        <w:rPr>
          <w:rFonts w:eastAsia="Times New Roman"/>
          <w:rtl/>
          <w:lang w:eastAsia="he-IL"/>
        </w:rPr>
        <w:t xml:space="preserve"> </w:t>
      </w:r>
      <w:r w:rsidR="009D4FE4" w:rsidRPr="00871C2C">
        <w:rPr>
          <w:rFonts w:eastAsia="Times New Roman" w:hint="cs"/>
          <w:rtl/>
          <w:lang w:eastAsia="he-IL"/>
        </w:rPr>
        <w:t>שבסעיף</w:t>
      </w:r>
      <w:r w:rsidR="009D4FE4" w:rsidRPr="00871C2C">
        <w:rPr>
          <w:rFonts w:eastAsia="Times New Roman"/>
          <w:rtl/>
          <w:lang w:eastAsia="he-IL"/>
        </w:rPr>
        <w:t xml:space="preserve"> 2(</w:t>
      </w:r>
      <w:r w:rsidR="009D4FE4" w:rsidRPr="00871C2C">
        <w:rPr>
          <w:rFonts w:eastAsia="Times New Roman" w:hint="cs"/>
          <w:rtl/>
          <w:lang w:eastAsia="he-IL"/>
        </w:rPr>
        <w:t>ב</w:t>
      </w:r>
      <w:r w:rsidR="009D4FE4" w:rsidRPr="00871C2C">
        <w:rPr>
          <w:rFonts w:eastAsia="Times New Roman"/>
          <w:rtl/>
          <w:lang w:eastAsia="he-IL"/>
        </w:rPr>
        <w:t xml:space="preserve">) – </w:t>
      </w:r>
      <w:r w:rsidR="009D4FE4" w:rsidRPr="00871C2C">
        <w:rPr>
          <w:rFonts w:eastAsia="Times New Roman" w:hint="cs"/>
          <w:rtl/>
          <w:lang w:eastAsia="he-IL"/>
        </w:rPr>
        <w:t>על</w:t>
      </w:r>
      <w:r w:rsidR="009D4FE4" w:rsidRPr="00871C2C">
        <w:rPr>
          <w:rFonts w:eastAsia="Times New Roman"/>
          <w:rtl/>
          <w:lang w:eastAsia="he-IL"/>
        </w:rPr>
        <w:t xml:space="preserve"> </w:t>
      </w:r>
      <w:r w:rsidR="009D4FE4" w:rsidRPr="00871C2C">
        <w:rPr>
          <w:rFonts w:eastAsia="Times New Roman" w:hint="cs"/>
          <w:rtl/>
          <w:lang w:eastAsia="he-IL"/>
        </w:rPr>
        <w:t>הסדרים</w:t>
      </w:r>
      <w:r w:rsidR="009D4FE4" w:rsidRPr="00871C2C">
        <w:rPr>
          <w:rFonts w:eastAsia="Times New Roman"/>
          <w:rtl/>
          <w:lang w:eastAsia="he-IL"/>
        </w:rPr>
        <w:t xml:space="preserve"> </w:t>
      </w:r>
      <w:r w:rsidR="009D4FE4" w:rsidRPr="00871C2C">
        <w:rPr>
          <w:rFonts w:eastAsia="Times New Roman" w:hint="cs"/>
          <w:rtl/>
          <w:lang w:eastAsia="he-IL"/>
        </w:rPr>
        <w:t>אנכיים</w:t>
      </w:r>
      <w:r w:rsidR="009D4FE4" w:rsidRPr="00871C2C">
        <w:rPr>
          <w:rFonts w:eastAsia="Times New Roman"/>
          <w:rtl/>
          <w:lang w:eastAsia="he-IL"/>
        </w:rPr>
        <w:t xml:space="preserve">, </w:t>
      </w:r>
      <w:r w:rsidR="009D4FE4" w:rsidRPr="00871C2C">
        <w:rPr>
          <w:rFonts w:eastAsia="Times New Roman" w:hint="cs"/>
          <w:rtl/>
          <w:lang w:eastAsia="he-IL"/>
        </w:rPr>
        <w:t>עלולה</w:t>
      </w:r>
      <w:r w:rsidR="009D4FE4" w:rsidRPr="00871C2C">
        <w:rPr>
          <w:rFonts w:eastAsia="Times New Roman"/>
          <w:rtl/>
          <w:lang w:eastAsia="he-IL"/>
        </w:rPr>
        <w:t xml:space="preserve"> </w:t>
      </w:r>
      <w:r w:rsidR="009D4FE4" w:rsidRPr="00871C2C">
        <w:rPr>
          <w:rFonts w:eastAsia="Times New Roman" w:hint="cs"/>
          <w:rtl/>
          <w:lang w:eastAsia="he-IL"/>
        </w:rPr>
        <w:t>להפחית</w:t>
      </w:r>
      <w:r w:rsidR="009D4FE4" w:rsidRPr="00871C2C">
        <w:rPr>
          <w:rFonts w:eastAsia="Times New Roman"/>
          <w:rtl/>
          <w:lang w:eastAsia="he-IL"/>
        </w:rPr>
        <w:t xml:space="preserve"> </w:t>
      </w:r>
      <w:r w:rsidR="009D4FE4" w:rsidRPr="00871C2C">
        <w:rPr>
          <w:rFonts w:eastAsia="Times New Roman" w:hint="cs"/>
          <w:rtl/>
          <w:lang w:eastAsia="he-IL"/>
        </w:rPr>
        <w:t>את</w:t>
      </w:r>
      <w:r w:rsidR="009D4FE4" w:rsidRPr="00871C2C">
        <w:rPr>
          <w:rFonts w:eastAsia="Times New Roman"/>
          <w:rtl/>
          <w:lang w:eastAsia="he-IL"/>
        </w:rPr>
        <w:t xml:space="preserve"> </w:t>
      </w:r>
      <w:r w:rsidR="009D4FE4" w:rsidRPr="00871C2C">
        <w:rPr>
          <w:rFonts w:eastAsia="Times New Roman" w:hint="cs"/>
          <w:rtl/>
          <w:lang w:eastAsia="he-IL"/>
        </w:rPr>
        <w:t>הרווחה</w:t>
      </w:r>
      <w:r w:rsidR="009D4FE4" w:rsidRPr="00871C2C">
        <w:rPr>
          <w:rFonts w:eastAsia="Times New Roman"/>
          <w:rtl/>
          <w:lang w:eastAsia="he-IL"/>
        </w:rPr>
        <w:t xml:space="preserve"> </w:t>
      </w:r>
      <w:r w:rsidR="009D4FE4" w:rsidRPr="00871C2C">
        <w:rPr>
          <w:rFonts w:eastAsia="Times New Roman" w:hint="cs"/>
          <w:rtl/>
          <w:lang w:eastAsia="he-IL"/>
        </w:rPr>
        <w:t>החברתית</w:t>
      </w:r>
      <w:r w:rsidR="009D4FE4" w:rsidRPr="00871C2C">
        <w:rPr>
          <w:rFonts w:eastAsia="Times New Roman"/>
          <w:rtl/>
          <w:lang w:eastAsia="he-IL"/>
        </w:rPr>
        <w:t xml:space="preserve"> </w:t>
      </w:r>
      <w:r w:rsidR="009D4FE4" w:rsidRPr="00871C2C">
        <w:rPr>
          <w:rFonts w:eastAsia="Times New Roman" w:hint="cs"/>
          <w:rtl/>
          <w:lang w:eastAsia="he-IL"/>
        </w:rPr>
        <w:t>ובכך</w:t>
      </w:r>
      <w:r w:rsidR="009D4FE4" w:rsidRPr="00871C2C">
        <w:rPr>
          <w:rFonts w:eastAsia="Times New Roman"/>
          <w:rtl/>
          <w:lang w:eastAsia="he-IL"/>
        </w:rPr>
        <w:t xml:space="preserve"> </w:t>
      </w:r>
      <w:r w:rsidR="009D4FE4" w:rsidRPr="00871C2C">
        <w:rPr>
          <w:rFonts w:eastAsia="Times New Roman" w:hint="cs"/>
          <w:rtl/>
          <w:lang w:eastAsia="he-IL"/>
        </w:rPr>
        <w:t>לחטוא</w:t>
      </w:r>
      <w:r w:rsidR="009D4FE4" w:rsidRPr="00871C2C">
        <w:rPr>
          <w:rFonts w:eastAsia="Times New Roman"/>
          <w:rtl/>
          <w:lang w:eastAsia="he-IL"/>
        </w:rPr>
        <w:t xml:space="preserve"> </w:t>
      </w:r>
      <w:r w:rsidR="009D4FE4" w:rsidRPr="00871C2C">
        <w:rPr>
          <w:rFonts w:eastAsia="Times New Roman" w:hint="cs"/>
          <w:rtl/>
          <w:lang w:eastAsia="he-IL"/>
        </w:rPr>
        <w:t>למטרות</w:t>
      </w:r>
      <w:r w:rsidR="009D4FE4" w:rsidRPr="00871C2C">
        <w:rPr>
          <w:rFonts w:eastAsia="Times New Roman"/>
          <w:rtl/>
          <w:lang w:eastAsia="he-IL"/>
        </w:rPr>
        <w:t xml:space="preserve"> </w:t>
      </w:r>
      <w:r w:rsidR="009D4FE4" w:rsidRPr="00871C2C">
        <w:rPr>
          <w:rFonts w:eastAsia="Times New Roman" w:hint="cs"/>
          <w:rtl/>
          <w:lang w:eastAsia="he-IL"/>
        </w:rPr>
        <w:t>עליהן</w:t>
      </w:r>
      <w:r w:rsidR="009D4FE4" w:rsidRPr="00871C2C">
        <w:rPr>
          <w:rFonts w:eastAsia="Times New Roman"/>
          <w:rtl/>
          <w:lang w:eastAsia="he-IL"/>
        </w:rPr>
        <w:t xml:space="preserve"> </w:t>
      </w:r>
      <w:r w:rsidR="009D4FE4" w:rsidRPr="00871C2C">
        <w:rPr>
          <w:rFonts w:eastAsia="Times New Roman" w:hint="cs"/>
          <w:rtl/>
          <w:lang w:eastAsia="he-IL"/>
        </w:rPr>
        <w:t>בא</w:t>
      </w:r>
      <w:r w:rsidR="009D4FE4" w:rsidRPr="00871C2C">
        <w:rPr>
          <w:rFonts w:eastAsia="Times New Roman"/>
          <w:rtl/>
          <w:lang w:eastAsia="he-IL"/>
        </w:rPr>
        <w:t xml:space="preserve"> </w:t>
      </w:r>
      <w:r w:rsidR="009D4FE4" w:rsidRPr="00871C2C">
        <w:rPr>
          <w:rFonts w:eastAsia="Times New Roman" w:hint="cs"/>
          <w:rtl/>
          <w:lang w:eastAsia="he-IL"/>
        </w:rPr>
        <w:t>חוק</w:t>
      </w:r>
      <w:r w:rsidR="009D4FE4" w:rsidRPr="00871C2C">
        <w:rPr>
          <w:rFonts w:eastAsia="Times New Roman"/>
          <w:rtl/>
          <w:lang w:eastAsia="he-IL"/>
        </w:rPr>
        <w:t xml:space="preserve"> </w:t>
      </w:r>
      <w:r w:rsidR="009D4FE4" w:rsidRPr="00871C2C">
        <w:rPr>
          <w:rFonts w:eastAsia="Times New Roman" w:hint="cs"/>
          <w:rtl/>
          <w:lang w:eastAsia="he-IL"/>
        </w:rPr>
        <w:t>ההגבלים</w:t>
      </w:r>
      <w:r w:rsidR="009D4FE4" w:rsidRPr="00871C2C">
        <w:rPr>
          <w:rFonts w:eastAsia="Times New Roman"/>
          <w:rtl/>
          <w:lang w:eastAsia="he-IL"/>
        </w:rPr>
        <w:t xml:space="preserve"> </w:t>
      </w:r>
      <w:r w:rsidR="009D4FE4" w:rsidRPr="00871C2C">
        <w:rPr>
          <w:rFonts w:eastAsia="Times New Roman" w:hint="cs"/>
          <w:rtl/>
          <w:lang w:eastAsia="he-IL"/>
        </w:rPr>
        <w:t>העסקיים</w:t>
      </w:r>
      <w:r w:rsidR="009D4FE4" w:rsidRPr="00871C2C">
        <w:rPr>
          <w:rFonts w:eastAsia="Times New Roman"/>
          <w:rtl/>
          <w:lang w:eastAsia="he-IL"/>
        </w:rPr>
        <w:t xml:space="preserve"> </w:t>
      </w:r>
      <w:r w:rsidR="009D4FE4" w:rsidRPr="00871C2C">
        <w:rPr>
          <w:rFonts w:eastAsia="Times New Roman" w:hint="cs"/>
          <w:rtl/>
          <w:lang w:eastAsia="he-IL"/>
        </w:rPr>
        <w:t>להגן</w:t>
      </w:r>
      <w:r w:rsidR="009D4FE4" w:rsidRPr="00871C2C">
        <w:rPr>
          <w:rFonts w:eastAsia="Times New Roman"/>
          <w:rtl/>
          <w:lang w:eastAsia="he-IL"/>
        </w:rPr>
        <w:t>.</w:t>
      </w:r>
      <w:r w:rsidR="00FC2F88" w:rsidRPr="00871C2C">
        <w:rPr>
          <w:rFonts w:eastAsia="Times New Roman"/>
          <w:rtl/>
          <w:lang w:eastAsia="he-IL"/>
        </w:rPr>
        <w:t>"</w:t>
      </w:r>
      <w:r w:rsidR="009E38F5" w:rsidRPr="00871C2C">
        <w:rPr>
          <w:rStyle w:val="FootnoteReference"/>
          <w:rFonts w:eastAsia="Times New Roman"/>
          <w:rtl/>
          <w:lang w:eastAsia="he-IL"/>
        </w:rPr>
        <w:footnoteReference w:id="16"/>
      </w:r>
    </w:p>
    <w:p w14:paraId="44783053" w14:textId="53EDEB65" w:rsidR="00817DBC" w:rsidRPr="00871C2C" w:rsidRDefault="00B1173C" w:rsidP="00CD407F">
      <w:pPr>
        <w:tabs>
          <w:tab w:val="left" w:pos="374"/>
        </w:tabs>
        <w:spacing w:before="120" w:after="120" w:line="360" w:lineRule="exact"/>
        <w:jc w:val="both"/>
        <w:rPr>
          <w:rFonts w:eastAsia="Times New Roman"/>
          <w:rtl/>
          <w:lang w:eastAsia="he-IL"/>
        </w:rPr>
      </w:pPr>
      <w:r w:rsidRPr="00871C2C">
        <w:rPr>
          <w:rFonts w:eastAsia="Times New Roman"/>
          <w:rtl/>
          <w:lang w:eastAsia="he-IL"/>
        </w:rPr>
        <w:t xml:space="preserve">נוכח האמור, </w:t>
      </w:r>
      <w:r w:rsidR="00E472BE" w:rsidRPr="00871C2C">
        <w:rPr>
          <w:rFonts w:eastAsia="Times New Roman"/>
          <w:rtl/>
          <w:lang w:eastAsia="he-IL"/>
        </w:rPr>
        <w:t>קבע בית המשפט העליון</w:t>
      </w:r>
      <w:r w:rsidR="005E08D5" w:rsidRPr="00871C2C">
        <w:rPr>
          <w:rFonts w:eastAsia="Times New Roman" w:hint="cs"/>
          <w:rtl/>
          <w:lang w:eastAsia="he-IL"/>
        </w:rPr>
        <w:t xml:space="preserve"> כי</w:t>
      </w:r>
      <w:r w:rsidR="00DD4B9F" w:rsidRPr="00871C2C">
        <w:rPr>
          <w:rFonts w:eastAsia="Times New Roman" w:hint="cs"/>
          <w:rtl/>
          <w:lang w:eastAsia="he-IL"/>
        </w:rPr>
        <w:t>,</w:t>
      </w:r>
      <w:r w:rsidR="00E472BE" w:rsidRPr="00871C2C">
        <w:rPr>
          <w:rFonts w:eastAsia="Times New Roman"/>
          <w:rtl/>
          <w:lang w:eastAsia="he-IL"/>
        </w:rPr>
        <w:t xml:space="preserve"> </w:t>
      </w:r>
      <w:r w:rsidR="003A2706" w:rsidRPr="00871C2C">
        <w:rPr>
          <w:rFonts w:eastAsia="Times New Roman"/>
          <w:rtl/>
          <w:lang w:eastAsia="he-IL"/>
        </w:rPr>
        <w:t>ככלל</w:t>
      </w:r>
      <w:r w:rsidR="00DD4B9F" w:rsidRPr="00871C2C">
        <w:rPr>
          <w:rFonts w:eastAsia="Times New Roman" w:hint="cs"/>
          <w:rtl/>
          <w:lang w:eastAsia="he-IL"/>
        </w:rPr>
        <w:t>,</w:t>
      </w:r>
      <w:r w:rsidR="003A2706" w:rsidRPr="00871C2C">
        <w:rPr>
          <w:rFonts w:eastAsia="Times New Roman"/>
          <w:rtl/>
          <w:lang w:eastAsia="he-IL"/>
        </w:rPr>
        <w:t xml:space="preserve"> </w:t>
      </w:r>
      <w:r w:rsidRPr="00871C2C">
        <w:rPr>
          <w:rFonts w:eastAsia="Times New Roman"/>
          <w:rtl/>
          <w:lang w:eastAsia="he-IL"/>
        </w:rPr>
        <w:t>הסדרים אנכיים ייבחנו לפי עלילות פ</w:t>
      </w:r>
      <w:r w:rsidR="00577623" w:rsidRPr="00871C2C">
        <w:rPr>
          <w:rFonts w:eastAsia="Times New Roman"/>
          <w:rtl/>
          <w:lang w:eastAsia="he-IL"/>
        </w:rPr>
        <w:t>גיעתם בתחרות, במסגרת סעיף 2(א)</w:t>
      </w:r>
      <w:r w:rsidR="003A2706" w:rsidRPr="00871C2C">
        <w:rPr>
          <w:rFonts w:eastAsia="Times New Roman"/>
          <w:rtl/>
          <w:lang w:eastAsia="he-IL"/>
        </w:rPr>
        <w:t>.</w:t>
      </w:r>
      <w:r w:rsidR="00F711AC" w:rsidRPr="00871C2C">
        <w:rPr>
          <w:rFonts w:eastAsia="Times New Roman" w:hint="cs"/>
          <w:rtl/>
          <w:lang w:eastAsia="he-IL"/>
        </w:rPr>
        <w:t xml:space="preserve"> </w:t>
      </w:r>
      <w:r w:rsidR="00951084" w:rsidRPr="00871C2C">
        <w:rPr>
          <w:rFonts w:hint="cs"/>
          <w:rtl/>
        </w:rPr>
        <w:t>כלומר</w:t>
      </w:r>
      <w:r w:rsidR="00951084" w:rsidRPr="00871C2C">
        <w:rPr>
          <w:rFonts w:eastAsia="Times New Roman" w:hint="cs"/>
          <w:rtl/>
          <w:lang w:eastAsia="he-IL"/>
        </w:rPr>
        <w:t xml:space="preserve">, ככלל הסדרים אנכיים אשר אינם מקימים עלילות למניעה או להפחתה של התחרות לא מסווגים עוד כהסדרים כובלים, וזאת אף אם יש בהם הוראות הנוגעות לעניינים המפורטים בסעיף 2(ב). </w:t>
      </w:r>
    </w:p>
    <w:p w14:paraId="5A644105" w14:textId="3C9530AD" w:rsidR="00F711AC" w:rsidRPr="00871C2C" w:rsidRDefault="0027791A" w:rsidP="00AF10EA">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כפי שיוצג בהמשך, דין זה חל גם על הסדרי </w:t>
      </w:r>
      <w:r w:rsidRPr="00871C2C">
        <w:rPr>
          <w:rFonts w:eastAsia="Times New Roman" w:hint="cs"/>
          <w:lang w:eastAsia="he-IL"/>
        </w:rPr>
        <w:t>RPM</w:t>
      </w:r>
      <w:r w:rsidRPr="00871C2C">
        <w:rPr>
          <w:rFonts w:eastAsia="Times New Roman" w:hint="cs"/>
          <w:rtl/>
          <w:lang w:eastAsia="he-IL"/>
        </w:rPr>
        <w:t>, אשר מטבעם נוגעים למחיר המוצר. בהתאם, ככלל, אין להחיל על הסדרים אלה את סעיף 2(ב) לחוק. סיווגם של הסדרים אלה תלוי</w:t>
      </w:r>
      <w:r w:rsidR="003D0759" w:rsidRPr="00871C2C">
        <w:rPr>
          <w:rFonts w:eastAsia="Times New Roman" w:hint="cs"/>
          <w:rtl/>
          <w:lang w:eastAsia="he-IL"/>
        </w:rPr>
        <w:t xml:space="preserve"> אם כן</w:t>
      </w:r>
      <w:r w:rsidRPr="00871C2C">
        <w:rPr>
          <w:rFonts w:eastAsia="Times New Roman" w:hint="cs"/>
          <w:rtl/>
          <w:lang w:eastAsia="he-IL"/>
        </w:rPr>
        <w:t xml:space="preserve"> בתוצאות </w:t>
      </w:r>
      <w:r w:rsidR="003D0759" w:rsidRPr="00871C2C">
        <w:rPr>
          <w:rFonts w:eastAsia="Times New Roman" w:hint="cs"/>
          <w:rtl/>
          <w:lang w:eastAsia="he-IL"/>
        </w:rPr>
        <w:t>בחינה פרטנית של</w:t>
      </w:r>
      <w:r w:rsidRPr="00871C2C">
        <w:rPr>
          <w:rFonts w:eastAsia="Times New Roman" w:hint="cs"/>
          <w:rtl/>
          <w:lang w:eastAsia="he-IL"/>
        </w:rPr>
        <w:t xml:space="preserve"> השפעתם על התחרות</w:t>
      </w:r>
      <w:r w:rsidR="003D0759" w:rsidRPr="00871C2C">
        <w:rPr>
          <w:rFonts w:eastAsia="Times New Roman" w:hint="cs"/>
          <w:rtl/>
          <w:lang w:eastAsia="he-IL"/>
        </w:rPr>
        <w:t>,</w:t>
      </w:r>
      <w:r w:rsidRPr="00871C2C">
        <w:rPr>
          <w:rFonts w:eastAsia="Times New Roman" w:hint="cs"/>
          <w:rtl/>
          <w:lang w:eastAsia="he-IL"/>
        </w:rPr>
        <w:t xml:space="preserve"> על פי אמות המידה הקבועות בסעיף 2(א) לחוק</w:t>
      </w:r>
      <w:r w:rsidR="003D0759" w:rsidRPr="00871C2C">
        <w:rPr>
          <w:rFonts w:eastAsia="Times New Roman" w:hint="cs"/>
          <w:rtl/>
          <w:lang w:eastAsia="he-IL"/>
        </w:rPr>
        <w:t xml:space="preserve">. מטרתו של גילוי דעת זה היא לשפוך אור על אופן בחינתם של הסדרי </w:t>
      </w:r>
      <w:r w:rsidR="003D0759" w:rsidRPr="00871C2C">
        <w:rPr>
          <w:rFonts w:eastAsia="Times New Roman"/>
          <w:lang w:eastAsia="he-IL"/>
        </w:rPr>
        <w:t>RPM</w:t>
      </w:r>
      <w:r w:rsidR="00F458AC" w:rsidRPr="00871C2C">
        <w:rPr>
          <w:rFonts w:eastAsia="Times New Roman" w:hint="cs"/>
          <w:rtl/>
          <w:lang w:eastAsia="he-IL"/>
        </w:rPr>
        <w:t xml:space="preserve"> על ידי רשות הגבלים עסקיים</w:t>
      </w:r>
      <w:r w:rsidR="003D0759" w:rsidRPr="00871C2C">
        <w:rPr>
          <w:rFonts w:eastAsia="Times New Roman" w:hint="cs"/>
          <w:rtl/>
          <w:lang w:eastAsia="he-IL"/>
        </w:rPr>
        <w:t>, על המורכבות הכרוכה בכך</w:t>
      </w:r>
      <w:r w:rsidR="00DA2717" w:rsidRPr="00871C2C">
        <w:rPr>
          <w:rFonts w:eastAsia="Times New Roman" w:hint="cs"/>
          <w:rtl/>
          <w:lang w:eastAsia="he-IL"/>
        </w:rPr>
        <w:t xml:space="preserve">, ולהבהיר כי הסדרי </w:t>
      </w:r>
      <w:r w:rsidR="00DA2717" w:rsidRPr="00871C2C">
        <w:rPr>
          <w:rFonts w:eastAsia="Times New Roman"/>
          <w:lang w:eastAsia="he-IL"/>
        </w:rPr>
        <w:t>RPM</w:t>
      </w:r>
      <w:r w:rsidR="00DA2717" w:rsidRPr="00871C2C">
        <w:rPr>
          <w:rFonts w:eastAsia="Times New Roman" w:hint="cs"/>
          <w:rtl/>
          <w:lang w:eastAsia="he-IL"/>
        </w:rPr>
        <w:t xml:space="preserve"> ייבחנו על ידי רשות הגבלים עסקיים בעין קפדנית יותר מהסדרים אנכיים אחרים</w:t>
      </w:r>
      <w:r w:rsidRPr="00871C2C">
        <w:rPr>
          <w:rFonts w:eastAsia="Times New Roman" w:hint="cs"/>
          <w:rtl/>
          <w:lang w:eastAsia="he-IL"/>
        </w:rPr>
        <w:t>.</w:t>
      </w:r>
      <w:r w:rsidR="00186FE0" w:rsidRPr="00871C2C">
        <w:rPr>
          <w:rStyle w:val="FootnoteReference"/>
          <w:rFonts w:eastAsia="Times New Roman"/>
          <w:rtl/>
          <w:lang w:eastAsia="he-IL"/>
        </w:rPr>
        <w:footnoteReference w:id="17"/>
      </w:r>
      <w:r w:rsidRPr="00871C2C">
        <w:rPr>
          <w:rFonts w:eastAsia="Times New Roman" w:hint="cs"/>
          <w:rtl/>
          <w:lang w:eastAsia="he-IL"/>
        </w:rPr>
        <w:t xml:space="preserve"> </w:t>
      </w:r>
    </w:p>
    <w:p w14:paraId="2386CF9F" w14:textId="49C2E0D8" w:rsidR="00817DBC" w:rsidRPr="00871C2C" w:rsidRDefault="00AF10EA" w:rsidP="00DA2717">
      <w:pPr>
        <w:tabs>
          <w:tab w:val="left" w:pos="374"/>
        </w:tabs>
        <w:spacing w:before="120" w:after="120" w:line="360" w:lineRule="exact"/>
        <w:jc w:val="both"/>
        <w:rPr>
          <w:rFonts w:eastAsia="Times New Roman"/>
          <w:rtl/>
          <w:lang w:eastAsia="he-IL"/>
        </w:rPr>
      </w:pPr>
      <w:r w:rsidRPr="00871C2C">
        <w:rPr>
          <w:rFonts w:eastAsia="Times New Roman" w:hint="cs"/>
          <w:rtl/>
          <w:lang w:eastAsia="he-IL"/>
        </w:rPr>
        <w:lastRenderedPageBreak/>
        <w:t>להשלמת התמונה, בין השופט רובינשטיין לבין השופט הנדל התגלעה מחלוקת</w:t>
      </w:r>
      <w:r w:rsidR="00F458AC" w:rsidRPr="00871C2C">
        <w:rPr>
          <w:rFonts w:eastAsia="Times New Roman" w:hint="cs"/>
          <w:rtl/>
          <w:lang w:eastAsia="he-IL"/>
        </w:rPr>
        <w:t>,</w:t>
      </w:r>
      <w:r w:rsidRPr="00871C2C">
        <w:rPr>
          <w:rFonts w:eastAsia="Times New Roman" w:hint="cs"/>
          <w:rtl/>
          <w:lang w:eastAsia="he-IL"/>
        </w:rPr>
        <w:t xml:space="preserve"> אשר לא הוכרעה בפסק הדין</w:t>
      </w:r>
      <w:r w:rsidR="00F458AC" w:rsidRPr="00871C2C">
        <w:rPr>
          <w:rFonts w:eastAsia="Times New Roman" w:hint="cs"/>
          <w:rtl/>
          <w:lang w:eastAsia="he-IL"/>
        </w:rPr>
        <w:t>,</w:t>
      </w:r>
      <w:r w:rsidRPr="00871C2C">
        <w:rPr>
          <w:rFonts w:eastAsia="Times New Roman" w:hint="cs"/>
          <w:rtl/>
          <w:lang w:eastAsia="he-IL"/>
        </w:rPr>
        <w:t xml:space="preserve"> באשר לשאלה האם יש להותיר פתח צר המאפשר להחיל את החזקות החלוטות הקבועות בסעיף 2(ב) גם על הסדרים אנכיים "חריגים במיוחד"</w:t>
      </w:r>
      <w:r w:rsidRPr="00871C2C">
        <w:rPr>
          <w:rFonts w:hint="cs"/>
          <w:rtl/>
        </w:rPr>
        <w:t>.</w:t>
      </w:r>
      <w:r w:rsidRPr="00871C2C">
        <w:rPr>
          <w:rStyle w:val="FootnoteReference"/>
          <w:rFonts w:eastAsia="Times New Roman"/>
          <w:rtl/>
          <w:lang w:eastAsia="he-IL"/>
        </w:rPr>
        <w:footnoteReference w:id="18"/>
      </w:r>
      <w:r w:rsidR="00C46E13" w:rsidRPr="00871C2C">
        <w:rPr>
          <w:rFonts w:eastAsia="Times New Roman" w:hint="cs"/>
          <w:rtl/>
          <w:lang w:eastAsia="he-IL"/>
        </w:rPr>
        <w:t xml:space="preserve"> אך</w:t>
      </w:r>
      <w:r w:rsidRPr="00871C2C">
        <w:rPr>
          <w:rFonts w:eastAsia="Times New Roman" w:hint="cs"/>
          <w:rtl/>
          <w:lang w:eastAsia="he-IL"/>
        </w:rPr>
        <w:t xml:space="preserve"> גם על פי העמדה הגורסת שיש להותיר פתח כאמור</w:t>
      </w:r>
      <w:r w:rsidRPr="00871C2C">
        <w:rPr>
          <w:rFonts w:hint="cs"/>
          <w:rtl/>
        </w:rPr>
        <w:t>, ההסדרים</w:t>
      </w:r>
      <w:r w:rsidRPr="00871C2C">
        <w:rPr>
          <w:rtl/>
        </w:rPr>
        <w:t xml:space="preserve"> </w:t>
      </w:r>
      <w:r w:rsidRPr="00871C2C">
        <w:rPr>
          <w:rFonts w:hint="cs"/>
          <w:rtl/>
        </w:rPr>
        <w:t>להם</w:t>
      </w:r>
      <w:r w:rsidRPr="00871C2C">
        <w:rPr>
          <w:rtl/>
        </w:rPr>
        <w:t xml:space="preserve"> </w:t>
      </w:r>
      <w:r w:rsidRPr="00871C2C">
        <w:rPr>
          <w:rFonts w:hint="cs"/>
          <w:rtl/>
        </w:rPr>
        <w:t>כיוון</w:t>
      </w:r>
      <w:r w:rsidRPr="00871C2C">
        <w:rPr>
          <w:rtl/>
        </w:rPr>
        <w:t xml:space="preserve"> </w:t>
      </w:r>
      <w:r w:rsidRPr="00871C2C">
        <w:rPr>
          <w:rFonts w:hint="cs"/>
          <w:rtl/>
        </w:rPr>
        <w:t>בית</w:t>
      </w:r>
      <w:r w:rsidRPr="00871C2C">
        <w:rPr>
          <w:rtl/>
        </w:rPr>
        <w:t xml:space="preserve"> </w:t>
      </w:r>
      <w:r w:rsidRPr="00871C2C">
        <w:rPr>
          <w:rFonts w:hint="cs"/>
          <w:rtl/>
        </w:rPr>
        <w:t>המשפט</w:t>
      </w:r>
      <w:r w:rsidRPr="00871C2C">
        <w:rPr>
          <w:rtl/>
        </w:rPr>
        <w:t xml:space="preserve"> </w:t>
      </w:r>
      <w:r w:rsidRPr="00871C2C">
        <w:rPr>
          <w:rFonts w:hint="cs"/>
          <w:rtl/>
        </w:rPr>
        <w:t>העליון</w:t>
      </w:r>
      <w:r w:rsidRPr="00871C2C">
        <w:rPr>
          <w:rtl/>
        </w:rPr>
        <w:t xml:space="preserve"> </w:t>
      </w:r>
      <w:r w:rsidRPr="00871C2C">
        <w:rPr>
          <w:rFonts w:hint="cs"/>
          <w:rtl/>
        </w:rPr>
        <w:t>לא</w:t>
      </w:r>
      <w:r w:rsidRPr="00871C2C">
        <w:rPr>
          <w:rtl/>
        </w:rPr>
        <w:t xml:space="preserve"> </w:t>
      </w:r>
      <w:r w:rsidRPr="00871C2C">
        <w:rPr>
          <w:rFonts w:hint="cs"/>
          <w:rtl/>
        </w:rPr>
        <w:t>היו</w:t>
      </w:r>
      <w:r w:rsidRPr="00871C2C">
        <w:rPr>
          <w:rtl/>
        </w:rPr>
        <w:t xml:space="preserve"> </w:t>
      </w:r>
      <w:r w:rsidRPr="00871C2C">
        <w:rPr>
          <w:rFonts w:hint="cs"/>
          <w:rtl/>
        </w:rPr>
        <w:t>דווקא</w:t>
      </w:r>
      <w:r w:rsidRPr="00871C2C">
        <w:rPr>
          <w:rtl/>
        </w:rPr>
        <w:t xml:space="preserve"> </w:t>
      </w:r>
      <w:r w:rsidRPr="00871C2C">
        <w:rPr>
          <w:rFonts w:hint="cs"/>
          <w:rtl/>
        </w:rPr>
        <w:t>הסדרי</w:t>
      </w:r>
      <w:r w:rsidRPr="00871C2C">
        <w:t xml:space="preserve">RPM </w:t>
      </w:r>
      <w:r w:rsidRPr="00871C2C">
        <w:rPr>
          <w:rFonts w:hint="cs"/>
          <w:rtl/>
        </w:rPr>
        <w:t>.</w:t>
      </w:r>
      <w:r w:rsidRPr="00871C2C">
        <w:rPr>
          <w:rStyle w:val="FootnoteReference"/>
          <w:rFonts w:eastAsia="Times New Roman"/>
          <w:rtl/>
          <w:lang w:eastAsia="he-IL"/>
        </w:rPr>
        <w:footnoteReference w:id="19"/>
      </w:r>
    </w:p>
    <w:p w14:paraId="6AD0B73F" w14:textId="41074185" w:rsidR="00661124" w:rsidRPr="00871C2C" w:rsidRDefault="000968EC" w:rsidP="00C26DF4">
      <w:pPr>
        <w:pStyle w:val="Heading1"/>
        <w:rPr>
          <w:rFonts w:eastAsia="Times New Roman"/>
          <w:lang w:eastAsia="he-IL"/>
        </w:rPr>
      </w:pPr>
      <w:r w:rsidRPr="00871C2C">
        <w:rPr>
          <w:rFonts w:eastAsia="Times New Roman" w:hint="cs"/>
          <w:rtl/>
          <w:lang w:eastAsia="he-IL"/>
        </w:rPr>
        <w:t xml:space="preserve">הסדרי </w:t>
      </w:r>
      <w:r w:rsidRPr="00871C2C">
        <w:rPr>
          <w:rFonts w:eastAsia="Times New Roman"/>
          <w:lang w:eastAsia="he-IL"/>
        </w:rPr>
        <w:t>RPM</w:t>
      </w:r>
      <w:r w:rsidRPr="00871C2C">
        <w:rPr>
          <w:rFonts w:eastAsia="Times New Roman" w:hint="cs"/>
          <w:rtl/>
          <w:lang w:eastAsia="he-IL"/>
        </w:rPr>
        <w:t xml:space="preserve"> </w:t>
      </w:r>
      <w:r w:rsidR="00D24403" w:rsidRPr="00871C2C">
        <w:rPr>
          <w:rFonts w:eastAsia="Times New Roman" w:hint="cs"/>
          <w:rtl/>
          <w:lang w:eastAsia="he-IL"/>
        </w:rPr>
        <w:t xml:space="preserve">הנוגעים למקטע הקמעונאי </w:t>
      </w:r>
    </w:p>
    <w:p w14:paraId="217B571B" w14:textId="77777777" w:rsidR="00957D45" w:rsidRPr="00871C2C" w:rsidRDefault="003B65D7" w:rsidP="00075176">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פרק </w:t>
      </w:r>
      <w:r w:rsidR="004F4AC3" w:rsidRPr="00871C2C">
        <w:rPr>
          <w:rFonts w:eastAsia="Times New Roman" w:hint="cs"/>
          <w:rtl/>
          <w:lang w:eastAsia="he-IL"/>
        </w:rPr>
        <w:t xml:space="preserve">זה יעסוק בניתוח הסדרי </w:t>
      </w:r>
      <w:r w:rsidR="004F4AC3" w:rsidRPr="00871C2C">
        <w:rPr>
          <w:rFonts w:eastAsia="Times New Roman"/>
          <w:lang w:eastAsia="he-IL"/>
        </w:rPr>
        <w:t>RPM</w:t>
      </w:r>
      <w:r w:rsidR="004F4AC3" w:rsidRPr="00871C2C">
        <w:rPr>
          <w:rFonts w:eastAsia="Times New Roman" w:hint="cs"/>
          <w:rtl/>
          <w:lang w:eastAsia="he-IL"/>
        </w:rPr>
        <w:t xml:space="preserve"> בין ספק לבין קמעונאי או גורם אחר המשווק מוצרים ישירות </w:t>
      </w:r>
      <w:r w:rsidR="00146FF7" w:rsidRPr="00871C2C">
        <w:rPr>
          <w:rFonts w:eastAsia="Times New Roman" w:hint="cs"/>
          <w:rtl/>
          <w:lang w:eastAsia="he-IL"/>
        </w:rPr>
        <w:t xml:space="preserve">ללקוח הסופי </w:t>
      </w:r>
      <w:r w:rsidR="004F4AC3" w:rsidRPr="00871C2C">
        <w:rPr>
          <w:rFonts w:eastAsia="Times New Roman" w:hint="cs"/>
          <w:rtl/>
          <w:lang w:eastAsia="he-IL"/>
        </w:rPr>
        <w:t>(להלן: "</w:t>
      </w:r>
      <w:r w:rsidR="004F4AC3" w:rsidRPr="00871C2C">
        <w:rPr>
          <w:rFonts w:eastAsia="Times New Roman" w:hint="cs"/>
          <w:b/>
          <w:bCs/>
          <w:rtl/>
          <w:lang w:eastAsia="he-IL"/>
        </w:rPr>
        <w:t>קמעונאי</w:t>
      </w:r>
      <w:r w:rsidR="004F4AC3" w:rsidRPr="00871C2C">
        <w:rPr>
          <w:rFonts w:eastAsia="Times New Roman" w:hint="cs"/>
          <w:rtl/>
          <w:lang w:eastAsia="he-IL"/>
        </w:rPr>
        <w:t>")</w:t>
      </w:r>
      <w:r w:rsidR="00146FF7" w:rsidRPr="00871C2C">
        <w:rPr>
          <w:rFonts w:eastAsia="Times New Roman" w:hint="cs"/>
          <w:rtl/>
          <w:lang w:eastAsia="he-IL"/>
        </w:rPr>
        <w:t>, ואילו הפרק הבא יעסוק בהסדרים בין ספק לבין גורם שאינו מוכר מוצרים ישירות ללקוח הסופי (להלן: "</w:t>
      </w:r>
      <w:r w:rsidR="00146FF7" w:rsidRPr="00871C2C">
        <w:rPr>
          <w:rFonts w:eastAsia="Times New Roman" w:hint="cs"/>
          <w:b/>
          <w:bCs/>
          <w:rtl/>
          <w:lang w:eastAsia="he-IL"/>
        </w:rPr>
        <w:t>מפיץ</w:t>
      </w:r>
      <w:r w:rsidR="00146FF7" w:rsidRPr="00871C2C">
        <w:rPr>
          <w:rFonts w:eastAsia="Times New Roman" w:hint="cs"/>
          <w:rtl/>
          <w:lang w:eastAsia="he-IL"/>
        </w:rPr>
        <w:t>")</w:t>
      </w:r>
      <w:r w:rsidR="005510E8" w:rsidRPr="00871C2C">
        <w:rPr>
          <w:rFonts w:eastAsia="Times New Roman" w:hint="cs"/>
          <w:rtl/>
          <w:lang w:eastAsia="he-IL"/>
        </w:rPr>
        <w:t>.</w:t>
      </w:r>
    </w:p>
    <w:p w14:paraId="332D2C2C" w14:textId="3EC9A3D4" w:rsidR="00146FF7" w:rsidRPr="00871C2C" w:rsidRDefault="00146FF7" w:rsidP="00075176">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נקדים ונבהיר כי </w:t>
      </w:r>
      <w:r w:rsidRPr="00871C2C">
        <w:rPr>
          <w:rFonts w:hint="cs"/>
          <w:rtl/>
        </w:rPr>
        <w:t xml:space="preserve">פרק זה יתמקד בהסדרים בין ספק לבין קמעונאי המוכר מוצרים לצרכנים פרטיים. עיקר הניתוח שבפרק רלוונטי גם ביחס לקמעונאי שמוכר מוצרים ללקוח סופי שאינו צרכן פרטי (כגון מכירת תשומה לתעשייה או מכירה לשוק המוסדי), בשינויים המחויבים. זאת, למעט מקרה שבו הקמעונאי מוכר את המוצרים מושא ההסדר ללקוחות הסופיים (שאינם צרכנים פרטיים) </w:t>
      </w:r>
      <w:r w:rsidR="00075176" w:rsidRPr="00871C2C">
        <w:rPr>
          <w:rFonts w:hint="cs"/>
          <w:rtl/>
        </w:rPr>
        <w:t>על פי הסדר בלעדיות שבינו לבין הספק.</w:t>
      </w:r>
      <w:r w:rsidRPr="00871C2C">
        <w:rPr>
          <w:rFonts w:hint="cs"/>
          <w:rtl/>
        </w:rPr>
        <w:t xml:space="preserve"> במקרה כזה, הסדר ה-</w:t>
      </w:r>
      <w:r w:rsidRPr="00871C2C">
        <w:t>RPM</w:t>
      </w:r>
      <w:r w:rsidRPr="00871C2C">
        <w:rPr>
          <w:rFonts w:hint="cs"/>
          <w:rtl/>
        </w:rPr>
        <w:t xml:space="preserve"> </w:t>
      </w:r>
      <w:r w:rsidR="00075176" w:rsidRPr="00871C2C">
        <w:rPr>
          <w:rFonts w:hint="cs"/>
          <w:rtl/>
        </w:rPr>
        <w:t>בין הקמעונאי</w:t>
      </w:r>
      <w:r w:rsidRPr="00871C2C">
        <w:rPr>
          <w:rFonts w:hint="cs"/>
          <w:rtl/>
        </w:rPr>
        <w:t xml:space="preserve"> לבין הספק דומה יותר, מבחינת החששות שהוא מעלה והתועלות שהוא צפוי להשיג, להסדר עם מפיץ. משכך יש לבחון אותו בהתאם לעקרונות שבפרק </w:t>
      </w:r>
      <w:r w:rsidR="000C2AA1" w:rsidRPr="00871C2C">
        <w:rPr>
          <w:rFonts w:hint="cs"/>
          <w:rtl/>
        </w:rPr>
        <w:t>ד'</w:t>
      </w:r>
      <w:r w:rsidRPr="00871C2C">
        <w:rPr>
          <w:rFonts w:hint="cs"/>
          <w:rtl/>
        </w:rPr>
        <w:t xml:space="preserve"> להלן. בדומה לכך, כאשר קיים הסדר קונסיגנציה בין הספק לקמעונאי, ובכלל זה קמעונאי המוכר לצרכנים פרטיים, ככלל לא ייתפס ההסדר כהסדר </w:t>
      </w:r>
      <w:r w:rsidRPr="00871C2C">
        <w:t>RPM</w:t>
      </w:r>
      <w:r w:rsidRPr="00871C2C">
        <w:rPr>
          <w:rFonts w:hint="cs"/>
          <w:rtl/>
        </w:rPr>
        <w:t xml:space="preserve">, מאחר שהלכה למעשה, הספק הוא הבעלים במוצרים הנמכרים לצרכן, כפי שיורחב בפרק </w:t>
      </w:r>
      <w:r w:rsidR="000C2AA1" w:rsidRPr="00871C2C">
        <w:rPr>
          <w:rFonts w:hint="cs"/>
          <w:rtl/>
        </w:rPr>
        <w:t>ד'</w:t>
      </w:r>
      <w:r w:rsidRPr="00871C2C">
        <w:rPr>
          <w:rFonts w:hint="cs"/>
          <w:rtl/>
        </w:rPr>
        <w:t>.</w:t>
      </w:r>
    </w:p>
    <w:p w14:paraId="414D6C63" w14:textId="12EFAC74" w:rsidR="00146FF7" w:rsidRPr="00871C2C" w:rsidRDefault="00C26DF4" w:rsidP="00C26DF4">
      <w:pPr>
        <w:pStyle w:val="Heading2"/>
        <w:rPr>
          <w:rFonts w:eastAsia="Times New Roman"/>
          <w:rtl/>
          <w:lang w:eastAsia="he-IL"/>
        </w:rPr>
      </w:pPr>
      <w:r>
        <w:rPr>
          <w:rFonts w:eastAsia="Times New Roman" w:hint="cs"/>
          <w:rtl/>
          <w:lang w:eastAsia="he-IL"/>
        </w:rPr>
        <w:lastRenderedPageBreak/>
        <w:t xml:space="preserve">ג.1 </w:t>
      </w:r>
      <w:r w:rsidR="00146FF7" w:rsidRPr="00871C2C">
        <w:rPr>
          <w:rFonts w:eastAsia="Times New Roman" w:hint="cs"/>
          <w:rtl/>
          <w:lang w:eastAsia="he-IL"/>
        </w:rPr>
        <w:t>תחרות תוך-מותגית אל מול תחרות בין-מותגית</w:t>
      </w:r>
    </w:p>
    <w:p w14:paraId="5A6F9B9B" w14:textId="0C1548DC" w:rsidR="009B54CE" w:rsidRPr="00871C2C" w:rsidRDefault="009B54CE" w:rsidP="00C71295">
      <w:pPr>
        <w:tabs>
          <w:tab w:val="left" w:pos="374"/>
        </w:tabs>
        <w:spacing w:before="120" w:after="120" w:line="360" w:lineRule="exact"/>
        <w:jc w:val="both"/>
        <w:rPr>
          <w:rFonts w:eastAsia="Times New Roman"/>
          <w:rtl/>
          <w:lang w:eastAsia="he-IL"/>
        </w:rPr>
      </w:pPr>
      <w:r w:rsidRPr="00871C2C">
        <w:rPr>
          <w:rFonts w:eastAsia="Times New Roman" w:hint="cs"/>
          <w:rtl/>
          <w:lang w:eastAsia="he-IL"/>
        </w:rPr>
        <w:t>לניתוח ההשפעה התחרותית של הסדרי</w:t>
      </w:r>
      <w:r w:rsidRPr="00871C2C">
        <w:rPr>
          <w:rFonts w:eastAsia="Times New Roman"/>
          <w:lang w:eastAsia="he-IL"/>
        </w:rPr>
        <w:t xml:space="preserve">RPM </w:t>
      </w:r>
      <w:r w:rsidRPr="00871C2C">
        <w:rPr>
          <w:rFonts w:eastAsia="Times New Roman" w:hint="cs"/>
          <w:rtl/>
          <w:lang w:eastAsia="he-IL"/>
        </w:rPr>
        <w:t xml:space="preserve"> רלוונטית האבחנה בין תחרות תוך-מותגית ותחרות בין-מותגית. </w:t>
      </w:r>
      <w:r w:rsidRPr="00871C2C">
        <w:rPr>
          <w:rFonts w:eastAsia="Times New Roman"/>
          <w:rtl/>
          <w:lang w:eastAsia="he-IL"/>
        </w:rPr>
        <w:t xml:space="preserve">תחרות בין-מותגית מתקיימת כאשר </w:t>
      </w:r>
      <w:r w:rsidRPr="00871C2C">
        <w:rPr>
          <w:rFonts w:eastAsia="Times New Roman" w:hint="cs"/>
          <w:rtl/>
          <w:lang w:eastAsia="he-IL"/>
        </w:rPr>
        <w:t>מוצרים</w:t>
      </w:r>
      <w:r w:rsidR="00891B64" w:rsidRPr="00871C2C">
        <w:rPr>
          <w:rFonts w:eastAsia="Times New Roman" w:hint="cs"/>
          <w:rtl/>
          <w:lang w:eastAsia="he-IL"/>
        </w:rPr>
        <w:t xml:space="preserve"> או שירותים</w:t>
      </w:r>
      <w:r w:rsidRPr="00871C2C">
        <w:rPr>
          <w:rFonts w:eastAsia="Times New Roman" w:hint="cs"/>
          <w:rtl/>
          <w:lang w:eastAsia="he-IL"/>
        </w:rPr>
        <w:t xml:space="preserve"> </w:t>
      </w:r>
      <w:r w:rsidRPr="00871C2C">
        <w:rPr>
          <w:rFonts w:eastAsia="Times New Roman"/>
          <w:rtl/>
          <w:lang w:eastAsia="he-IL"/>
        </w:rPr>
        <w:t xml:space="preserve">שונים </w:t>
      </w:r>
      <w:r w:rsidR="00891B64" w:rsidRPr="00871C2C">
        <w:rPr>
          <w:rFonts w:eastAsia="Times New Roman" w:hint="cs"/>
          <w:rtl/>
          <w:lang w:eastAsia="he-IL"/>
        </w:rPr>
        <w:t>המסופקים</w:t>
      </w:r>
      <w:r w:rsidRPr="00871C2C">
        <w:rPr>
          <w:rFonts w:eastAsia="Times New Roman"/>
          <w:rtl/>
          <w:lang w:eastAsia="he-IL"/>
        </w:rPr>
        <w:t xml:space="preserve"> על ידי ספקים שונים הם תחליפים קרובים זה לזה. לעומת זאת, תחרות תוך-מותגית מתייחסת לתחרות על שיווק</w:t>
      </w:r>
      <w:r w:rsidRPr="00871C2C">
        <w:rPr>
          <w:rFonts w:eastAsia="Times New Roman" w:hint="cs"/>
          <w:rtl/>
          <w:lang w:eastAsia="he-IL"/>
        </w:rPr>
        <w:t xml:space="preserve"> מוצרי אותו ספק.</w:t>
      </w:r>
      <w:r w:rsidRPr="00871C2C">
        <w:rPr>
          <w:rFonts w:eastAsia="Times New Roman"/>
          <w:rtl/>
          <w:lang w:eastAsia="he-IL"/>
        </w:rPr>
        <w:t xml:space="preserve"> התחרות התוך-מותגית עשויה לבוא לידי ביטוי, למשל, ב</w:t>
      </w:r>
      <w:r w:rsidRPr="00871C2C">
        <w:rPr>
          <w:rFonts w:eastAsia="Times New Roman" w:hint="cs"/>
          <w:rtl/>
          <w:lang w:eastAsia="he-IL"/>
        </w:rPr>
        <w:t>תחרות בין קמעונאים</w:t>
      </w:r>
      <w:r w:rsidR="00891B64" w:rsidRPr="00871C2C">
        <w:rPr>
          <w:rFonts w:eastAsia="Times New Roman" w:hint="cs"/>
          <w:rtl/>
          <w:lang w:eastAsia="he-IL"/>
        </w:rPr>
        <w:t xml:space="preserve"> או משווקים</w:t>
      </w:r>
      <w:r w:rsidRPr="00871C2C">
        <w:rPr>
          <w:rFonts w:eastAsia="Times New Roman" w:hint="cs"/>
          <w:rtl/>
          <w:lang w:eastAsia="he-IL"/>
        </w:rPr>
        <w:t xml:space="preserve"> על </w:t>
      </w:r>
      <w:r w:rsidRPr="00871C2C">
        <w:rPr>
          <w:rFonts w:eastAsia="Times New Roman"/>
          <w:rtl/>
          <w:lang w:eastAsia="he-IL"/>
        </w:rPr>
        <w:t xml:space="preserve">מחיר המוצר ללקוח הסופי או </w:t>
      </w:r>
      <w:r w:rsidRPr="00871C2C">
        <w:rPr>
          <w:rFonts w:eastAsia="Times New Roman" w:hint="cs"/>
          <w:rtl/>
          <w:lang w:eastAsia="he-IL"/>
        </w:rPr>
        <w:t xml:space="preserve">על מתן </w:t>
      </w:r>
      <w:r w:rsidRPr="00871C2C">
        <w:rPr>
          <w:rFonts w:eastAsia="Times New Roman"/>
          <w:rtl/>
          <w:lang w:eastAsia="he-IL"/>
        </w:rPr>
        <w:t>שירותים הנלווים לאספקתו</w:t>
      </w:r>
      <w:r w:rsidR="00533100" w:rsidRPr="00871C2C">
        <w:rPr>
          <w:rFonts w:eastAsia="Times New Roman" w:hint="cs"/>
          <w:rtl/>
          <w:lang w:eastAsia="he-IL"/>
        </w:rPr>
        <w:t xml:space="preserve"> (כגון הדגמות, </w:t>
      </w:r>
      <w:r w:rsidR="00C71295" w:rsidRPr="00871C2C">
        <w:rPr>
          <w:rFonts w:eastAsia="Times New Roman" w:hint="cs"/>
          <w:rtl/>
          <w:lang w:eastAsia="he-IL"/>
        </w:rPr>
        <w:t xml:space="preserve">העסקת </w:t>
      </w:r>
      <w:r w:rsidR="00533100" w:rsidRPr="00871C2C">
        <w:rPr>
          <w:rFonts w:eastAsia="Times New Roman" w:hint="cs"/>
          <w:rtl/>
          <w:lang w:eastAsia="he-IL"/>
        </w:rPr>
        <w:t xml:space="preserve">אנשי מכירות, </w:t>
      </w:r>
      <w:r w:rsidR="00C71295" w:rsidRPr="00871C2C">
        <w:rPr>
          <w:rFonts w:eastAsia="Times New Roman" w:hint="cs"/>
          <w:rtl/>
          <w:lang w:eastAsia="he-IL"/>
        </w:rPr>
        <w:t>השקעה ב</w:t>
      </w:r>
      <w:r w:rsidR="00533100" w:rsidRPr="00871C2C">
        <w:rPr>
          <w:rFonts w:eastAsia="Times New Roman" w:hint="cs"/>
          <w:rtl/>
          <w:lang w:eastAsia="he-IL"/>
        </w:rPr>
        <w:t>תצוגה רחבה או בפרסום)</w:t>
      </w:r>
      <w:r w:rsidRPr="00871C2C">
        <w:rPr>
          <w:rFonts w:eastAsia="Times New Roman"/>
          <w:rtl/>
          <w:lang w:eastAsia="he-IL"/>
        </w:rPr>
        <w:t xml:space="preserve">. </w:t>
      </w:r>
    </w:p>
    <w:p w14:paraId="6D86BD5E" w14:textId="76D109F0" w:rsidR="00B30D68" w:rsidRPr="00871C2C" w:rsidRDefault="00AD3349" w:rsidP="009B421F">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מעצם </w:t>
      </w:r>
      <w:r w:rsidR="00DD4B9F" w:rsidRPr="00871C2C">
        <w:rPr>
          <w:rFonts w:eastAsia="Times New Roman" w:hint="cs"/>
          <w:rtl/>
          <w:lang w:eastAsia="he-IL"/>
        </w:rPr>
        <w:t>טיבו</w:t>
      </w:r>
      <w:r w:rsidRPr="00871C2C">
        <w:rPr>
          <w:rFonts w:eastAsia="Times New Roman" w:hint="cs"/>
          <w:rtl/>
          <w:lang w:eastAsia="he-IL"/>
        </w:rPr>
        <w:t>, הסדר</w:t>
      </w:r>
      <w:r w:rsidR="00661124" w:rsidRPr="00871C2C">
        <w:rPr>
          <w:rFonts w:eastAsia="Times New Roman" w:hint="cs"/>
          <w:rtl/>
          <w:lang w:eastAsia="he-IL"/>
        </w:rPr>
        <w:t xml:space="preserve"> </w:t>
      </w:r>
      <w:r w:rsidR="00661124" w:rsidRPr="00871C2C">
        <w:rPr>
          <w:rFonts w:eastAsia="Times New Roman"/>
          <w:lang w:eastAsia="he-IL"/>
        </w:rPr>
        <w:t>RPM</w:t>
      </w:r>
      <w:r w:rsidR="00661124" w:rsidRPr="00871C2C">
        <w:rPr>
          <w:rFonts w:eastAsia="Times New Roman" w:hint="cs"/>
          <w:rtl/>
          <w:lang w:eastAsia="he-IL"/>
        </w:rPr>
        <w:t xml:space="preserve"> </w:t>
      </w:r>
      <w:r w:rsidR="004F4AC3" w:rsidRPr="00871C2C">
        <w:rPr>
          <w:rFonts w:eastAsia="Times New Roman" w:hint="cs"/>
          <w:rtl/>
          <w:lang w:eastAsia="he-IL"/>
        </w:rPr>
        <w:t xml:space="preserve">הנוגע למקטע הקמעונאי </w:t>
      </w:r>
      <w:r w:rsidR="00D13D9C" w:rsidRPr="00871C2C">
        <w:rPr>
          <w:rFonts w:eastAsia="Times New Roman" w:hint="cs"/>
          <w:rtl/>
          <w:lang w:eastAsia="he-IL"/>
        </w:rPr>
        <w:t>מגביל</w:t>
      </w:r>
      <w:r w:rsidR="0060025F" w:rsidRPr="00871C2C">
        <w:rPr>
          <w:rFonts w:eastAsia="Times New Roman" w:hint="cs"/>
          <w:rtl/>
          <w:lang w:eastAsia="he-IL"/>
        </w:rPr>
        <w:t xml:space="preserve"> את התחרות</w:t>
      </w:r>
      <w:r w:rsidR="009B54CE" w:rsidRPr="00871C2C">
        <w:rPr>
          <w:rFonts w:eastAsia="Times New Roman" w:hint="cs"/>
          <w:rtl/>
          <w:lang w:eastAsia="he-IL"/>
        </w:rPr>
        <w:t xml:space="preserve"> התוך-מותגית</w:t>
      </w:r>
      <w:r w:rsidR="0060025F" w:rsidRPr="00871C2C">
        <w:rPr>
          <w:rFonts w:eastAsia="Times New Roman" w:hint="cs"/>
          <w:rtl/>
          <w:lang w:eastAsia="he-IL"/>
        </w:rPr>
        <w:t xml:space="preserve"> ב</w:t>
      </w:r>
      <w:r w:rsidR="004F4AC3" w:rsidRPr="00871C2C">
        <w:rPr>
          <w:rFonts w:eastAsia="Times New Roman" w:hint="cs"/>
          <w:rtl/>
          <w:lang w:eastAsia="he-IL"/>
        </w:rPr>
        <w:t xml:space="preserve">אותו </w:t>
      </w:r>
      <w:r w:rsidR="0060025F" w:rsidRPr="00871C2C">
        <w:rPr>
          <w:rFonts w:eastAsia="Times New Roman" w:hint="cs"/>
          <w:rtl/>
          <w:lang w:eastAsia="he-IL"/>
        </w:rPr>
        <w:t xml:space="preserve">מקטע </w:t>
      </w:r>
      <w:r w:rsidR="009B421F" w:rsidRPr="00871C2C">
        <w:rPr>
          <w:rFonts w:eastAsia="Times New Roman" w:hint="cs"/>
          <w:rtl/>
          <w:lang w:eastAsia="he-IL"/>
        </w:rPr>
        <w:t xml:space="preserve">והוא עשוי לקבוע </w:t>
      </w:r>
      <w:r w:rsidR="00D13D9C" w:rsidRPr="00871C2C">
        <w:rPr>
          <w:rFonts w:eastAsia="Times New Roman" w:hint="cs"/>
          <w:rtl/>
          <w:lang w:eastAsia="he-IL"/>
        </w:rPr>
        <w:t xml:space="preserve">מחיר גבוה יותר </w:t>
      </w:r>
      <w:r w:rsidR="00B35F20" w:rsidRPr="00871C2C">
        <w:rPr>
          <w:rFonts w:eastAsia="Times New Roman" w:hint="cs"/>
          <w:rtl/>
          <w:lang w:eastAsia="he-IL"/>
        </w:rPr>
        <w:t xml:space="preserve">לצרכן </w:t>
      </w:r>
      <w:r w:rsidR="00D13D9C" w:rsidRPr="00871C2C">
        <w:rPr>
          <w:rFonts w:eastAsia="Times New Roman" w:hint="cs"/>
          <w:rtl/>
          <w:lang w:eastAsia="he-IL"/>
        </w:rPr>
        <w:t>עבור המוצר</w:t>
      </w:r>
      <w:r w:rsidR="00B35F20" w:rsidRPr="00871C2C">
        <w:rPr>
          <w:rFonts w:eastAsia="Times New Roman" w:hint="cs"/>
          <w:rtl/>
          <w:lang w:eastAsia="he-IL"/>
        </w:rPr>
        <w:t xml:space="preserve"> שבהסדר </w:t>
      </w:r>
      <w:r w:rsidR="003D0759" w:rsidRPr="00871C2C">
        <w:rPr>
          <w:rFonts w:eastAsia="Times New Roman" w:hint="cs"/>
          <w:rtl/>
          <w:lang w:eastAsia="he-IL"/>
        </w:rPr>
        <w:t xml:space="preserve">בהשוואה </w:t>
      </w:r>
      <w:r w:rsidR="0060025F" w:rsidRPr="00871C2C">
        <w:rPr>
          <w:rFonts w:eastAsia="Times New Roman" w:hint="cs"/>
          <w:rtl/>
          <w:lang w:eastAsia="he-IL"/>
        </w:rPr>
        <w:t>ל</w:t>
      </w:r>
      <w:r w:rsidR="004E71D7" w:rsidRPr="00871C2C">
        <w:rPr>
          <w:rFonts w:eastAsia="Times New Roman" w:hint="cs"/>
          <w:rtl/>
          <w:lang w:eastAsia="he-IL"/>
        </w:rPr>
        <w:t xml:space="preserve">מצב </w:t>
      </w:r>
      <w:r w:rsidR="003D0759" w:rsidRPr="00871C2C">
        <w:rPr>
          <w:rFonts w:eastAsia="Times New Roman" w:hint="cs"/>
          <w:rtl/>
          <w:lang w:eastAsia="he-IL"/>
        </w:rPr>
        <w:t>בהיעדר הסדר</w:t>
      </w:r>
      <w:r w:rsidR="00891B64" w:rsidRPr="00871C2C">
        <w:rPr>
          <w:rFonts w:eastAsia="Times New Roman" w:hint="cs"/>
          <w:rtl/>
          <w:lang w:eastAsia="he-IL"/>
        </w:rPr>
        <w:t xml:space="preserve"> </w:t>
      </w:r>
      <w:r w:rsidR="00891B64" w:rsidRPr="00871C2C">
        <w:rPr>
          <w:rFonts w:eastAsia="Times New Roman"/>
          <w:lang w:eastAsia="he-IL"/>
        </w:rPr>
        <w:t>RPM</w:t>
      </w:r>
      <w:r w:rsidR="00032988" w:rsidRPr="00871C2C">
        <w:rPr>
          <w:rFonts w:eastAsia="Times New Roman" w:hint="cs"/>
          <w:rtl/>
          <w:lang w:eastAsia="he-IL"/>
        </w:rPr>
        <w:t>.</w:t>
      </w:r>
      <w:r w:rsidR="005C59C7" w:rsidRPr="00871C2C">
        <w:rPr>
          <w:rFonts w:eastAsia="Times New Roman" w:hint="cs"/>
          <w:rtl/>
          <w:lang w:eastAsia="he-IL"/>
        </w:rPr>
        <w:t xml:space="preserve"> </w:t>
      </w:r>
      <w:r w:rsidR="00CA7923" w:rsidRPr="00871C2C">
        <w:rPr>
          <w:rFonts w:eastAsia="Times New Roman" w:hint="cs"/>
          <w:rtl/>
          <w:lang w:eastAsia="he-IL"/>
        </w:rPr>
        <w:t xml:space="preserve">אלא שניתוח ההשפעה התחרותית של הסדר </w:t>
      </w:r>
      <w:r w:rsidR="00CA7923" w:rsidRPr="00871C2C">
        <w:rPr>
          <w:rFonts w:eastAsia="Times New Roman"/>
          <w:lang w:eastAsia="he-IL"/>
        </w:rPr>
        <w:t>RPM</w:t>
      </w:r>
      <w:r w:rsidR="00CA7923" w:rsidRPr="00871C2C">
        <w:rPr>
          <w:rFonts w:eastAsia="Times New Roman" w:hint="cs"/>
          <w:rtl/>
          <w:lang w:eastAsia="he-IL"/>
        </w:rPr>
        <w:t xml:space="preserve"> </w:t>
      </w:r>
      <w:r w:rsidR="004F4AC3" w:rsidRPr="00871C2C">
        <w:rPr>
          <w:rFonts w:eastAsia="Times New Roman" w:hint="cs"/>
          <w:rtl/>
          <w:lang w:eastAsia="he-IL"/>
        </w:rPr>
        <w:t xml:space="preserve">במקטע הקמעונאי </w:t>
      </w:r>
      <w:r w:rsidR="00CA7923" w:rsidRPr="00871C2C">
        <w:rPr>
          <w:rFonts w:eastAsia="Times New Roman" w:hint="cs"/>
          <w:rtl/>
          <w:lang w:eastAsia="he-IL"/>
        </w:rPr>
        <w:t xml:space="preserve">והשפעתו על הרווחה החברתית אינו מתמצה </w:t>
      </w:r>
      <w:r w:rsidR="00891B64" w:rsidRPr="00871C2C">
        <w:rPr>
          <w:rFonts w:eastAsia="Times New Roman" w:hint="cs"/>
          <w:rtl/>
          <w:lang w:eastAsia="he-IL"/>
        </w:rPr>
        <w:t xml:space="preserve">רק </w:t>
      </w:r>
      <w:r w:rsidR="00CA7923" w:rsidRPr="00871C2C">
        <w:rPr>
          <w:rFonts w:eastAsia="Times New Roman" w:hint="cs"/>
          <w:rtl/>
          <w:lang w:eastAsia="he-IL"/>
        </w:rPr>
        <w:t xml:space="preserve">בבחינת השפעתו על </w:t>
      </w:r>
      <w:r w:rsidR="004935AF" w:rsidRPr="00871C2C">
        <w:rPr>
          <w:rFonts w:eastAsia="Times New Roman" w:hint="cs"/>
          <w:rtl/>
          <w:lang w:eastAsia="he-IL"/>
        </w:rPr>
        <w:t>התחרות התוך-מותגית</w:t>
      </w:r>
      <w:r w:rsidR="00CA7923" w:rsidRPr="00871C2C">
        <w:rPr>
          <w:rFonts w:eastAsia="Times New Roman" w:hint="cs"/>
          <w:rtl/>
          <w:lang w:eastAsia="he-IL"/>
        </w:rPr>
        <w:t>.</w:t>
      </w:r>
      <w:r w:rsidR="00602EA8" w:rsidRPr="00871C2C">
        <w:rPr>
          <w:rFonts w:eastAsia="Times New Roman" w:hint="cs"/>
          <w:rtl/>
          <w:lang w:eastAsia="he-IL"/>
        </w:rPr>
        <w:t xml:space="preserve"> אדרבה,</w:t>
      </w:r>
      <w:r w:rsidR="00CA7923" w:rsidRPr="00871C2C">
        <w:rPr>
          <w:rFonts w:eastAsia="Times New Roman" w:hint="cs"/>
          <w:rtl/>
          <w:lang w:eastAsia="he-IL"/>
        </w:rPr>
        <w:t xml:space="preserve"> בכל הנוגע להסדרים אנכיים</w:t>
      </w:r>
      <w:r w:rsidR="00D6587A" w:rsidRPr="00871C2C">
        <w:rPr>
          <w:rFonts w:eastAsia="Times New Roman" w:hint="cs"/>
          <w:rtl/>
          <w:lang w:eastAsia="he-IL"/>
        </w:rPr>
        <w:t>,</w:t>
      </w:r>
      <w:r w:rsidR="00CA7923" w:rsidRPr="00871C2C">
        <w:rPr>
          <w:rFonts w:eastAsia="Times New Roman" w:hint="cs"/>
          <w:rtl/>
          <w:lang w:eastAsia="he-IL"/>
        </w:rPr>
        <w:t xml:space="preserve"> </w:t>
      </w:r>
      <w:r w:rsidR="00027AB7" w:rsidRPr="00871C2C">
        <w:rPr>
          <w:rFonts w:eastAsia="Times New Roman" w:hint="cs"/>
          <w:rtl/>
          <w:lang w:eastAsia="he-IL"/>
        </w:rPr>
        <w:t xml:space="preserve">ובכלל זה </w:t>
      </w:r>
      <w:r w:rsidR="00CA7923" w:rsidRPr="00871C2C">
        <w:rPr>
          <w:rFonts w:eastAsia="Times New Roman" w:hint="cs"/>
          <w:rtl/>
          <w:lang w:eastAsia="he-IL"/>
        </w:rPr>
        <w:t xml:space="preserve">להסדרי </w:t>
      </w:r>
      <w:r w:rsidR="00CA7923" w:rsidRPr="00871C2C">
        <w:rPr>
          <w:rFonts w:eastAsia="Times New Roman"/>
          <w:lang w:eastAsia="he-IL"/>
        </w:rPr>
        <w:t>RPM</w:t>
      </w:r>
      <w:r w:rsidR="00CA7923" w:rsidRPr="00871C2C">
        <w:rPr>
          <w:rFonts w:eastAsia="Times New Roman" w:hint="cs"/>
          <w:rtl/>
          <w:lang w:eastAsia="he-IL"/>
        </w:rPr>
        <w:t xml:space="preserve">, יש להתחשב גם </w:t>
      </w:r>
      <w:r w:rsidR="004935AF" w:rsidRPr="00871C2C">
        <w:rPr>
          <w:rFonts w:eastAsia="Times New Roman" w:hint="cs"/>
          <w:rtl/>
          <w:lang w:eastAsia="he-IL"/>
        </w:rPr>
        <w:t xml:space="preserve">בהשפעת ההסדרים על התחרות הבין-מותגית, וכתוצאה מכך, על איכות המוצר, זמינותו, </w:t>
      </w:r>
      <w:r w:rsidR="003203D8" w:rsidRPr="00871C2C">
        <w:rPr>
          <w:rFonts w:eastAsia="Times New Roman" w:hint="cs"/>
          <w:rtl/>
          <w:lang w:eastAsia="he-IL"/>
        </w:rPr>
        <w:t xml:space="preserve">היקף </w:t>
      </w:r>
      <w:r w:rsidR="004935AF" w:rsidRPr="00871C2C">
        <w:rPr>
          <w:rFonts w:eastAsia="Times New Roman" w:hint="cs"/>
          <w:rtl/>
          <w:lang w:eastAsia="he-IL"/>
        </w:rPr>
        <w:t xml:space="preserve">אספקת </w:t>
      </w:r>
      <w:r w:rsidR="00B35F20" w:rsidRPr="00871C2C">
        <w:rPr>
          <w:rFonts w:eastAsia="Times New Roman" w:hint="cs"/>
          <w:rtl/>
          <w:lang w:eastAsia="he-IL"/>
        </w:rPr>
        <w:t>ה</w:t>
      </w:r>
      <w:r w:rsidR="004935AF" w:rsidRPr="00871C2C">
        <w:rPr>
          <w:rFonts w:eastAsia="Times New Roman" w:hint="cs"/>
          <w:rtl/>
          <w:lang w:eastAsia="he-IL"/>
        </w:rPr>
        <w:t xml:space="preserve">שירותים </w:t>
      </w:r>
      <w:r w:rsidR="003203D8" w:rsidRPr="00871C2C">
        <w:rPr>
          <w:rFonts w:eastAsia="Times New Roman" w:hint="cs"/>
          <w:rtl/>
          <w:lang w:eastAsia="he-IL"/>
        </w:rPr>
        <w:t>ה</w:t>
      </w:r>
      <w:r w:rsidR="004935AF" w:rsidRPr="00871C2C">
        <w:rPr>
          <w:rFonts w:eastAsia="Times New Roman" w:hint="cs"/>
          <w:rtl/>
          <w:lang w:eastAsia="he-IL"/>
        </w:rPr>
        <w:t>נלווים לו</w:t>
      </w:r>
      <w:r w:rsidR="00A836DA" w:rsidRPr="00871C2C">
        <w:rPr>
          <w:rFonts w:eastAsia="Times New Roman" w:hint="cs"/>
          <w:rtl/>
          <w:lang w:eastAsia="he-IL"/>
        </w:rPr>
        <w:t xml:space="preserve"> ואיכותם</w:t>
      </w:r>
      <w:r w:rsidR="004935AF" w:rsidRPr="00871C2C">
        <w:rPr>
          <w:rFonts w:eastAsia="Times New Roman" w:hint="cs"/>
          <w:rtl/>
          <w:lang w:eastAsia="he-IL"/>
        </w:rPr>
        <w:t xml:space="preserve">, </w:t>
      </w:r>
      <w:r w:rsidR="003203D8" w:rsidRPr="00871C2C">
        <w:rPr>
          <w:rFonts w:eastAsia="Times New Roman" w:hint="cs"/>
          <w:rtl/>
          <w:lang w:eastAsia="he-IL"/>
        </w:rPr>
        <w:t>וכן על יכולת החדירה של מוצר זה לשוק כאשר מעמדו טרם ההסכם אינו מבוסס (</w:t>
      </w:r>
      <w:r w:rsidR="009E70A6" w:rsidRPr="00871C2C">
        <w:rPr>
          <w:rFonts w:eastAsia="Times New Roman" w:hint="cs"/>
          <w:rtl/>
          <w:lang w:eastAsia="he-IL"/>
        </w:rPr>
        <w:t>בדגש על</w:t>
      </w:r>
      <w:r w:rsidR="003203D8" w:rsidRPr="00871C2C">
        <w:rPr>
          <w:rFonts w:eastAsia="Times New Roman" w:hint="cs"/>
          <w:rtl/>
          <w:lang w:eastAsia="he-IL"/>
        </w:rPr>
        <w:t xml:space="preserve"> מוצר חדש)</w:t>
      </w:r>
      <w:r w:rsidR="004935AF" w:rsidRPr="00871C2C">
        <w:rPr>
          <w:rFonts w:eastAsia="Times New Roman" w:hint="cs"/>
          <w:rtl/>
          <w:lang w:eastAsia="he-IL"/>
        </w:rPr>
        <w:t>.</w:t>
      </w:r>
      <w:r w:rsidR="00CA7923" w:rsidRPr="00871C2C">
        <w:rPr>
          <w:rFonts w:eastAsia="Times New Roman" w:hint="cs"/>
          <w:rtl/>
          <w:lang w:eastAsia="he-IL"/>
        </w:rPr>
        <w:t xml:space="preserve"> </w:t>
      </w:r>
    </w:p>
    <w:p w14:paraId="004CDF66" w14:textId="16DAE72C" w:rsidR="00ED7016" w:rsidRPr="00871C2C" w:rsidRDefault="00C26DF4" w:rsidP="00C26DF4">
      <w:pPr>
        <w:pStyle w:val="Heading2"/>
        <w:rPr>
          <w:rFonts w:eastAsia="Times New Roman"/>
          <w:rtl/>
          <w:lang w:eastAsia="he-IL"/>
        </w:rPr>
      </w:pPr>
      <w:r>
        <w:rPr>
          <w:rFonts w:eastAsia="Times New Roman" w:hint="cs"/>
          <w:rtl/>
          <w:lang w:eastAsia="he-IL"/>
        </w:rPr>
        <w:t xml:space="preserve">ג.2 </w:t>
      </w:r>
      <w:r w:rsidR="00ED7016" w:rsidRPr="00871C2C">
        <w:rPr>
          <w:rFonts w:eastAsia="Times New Roman" w:hint="cs"/>
          <w:rtl/>
          <w:lang w:eastAsia="he-IL"/>
        </w:rPr>
        <w:t xml:space="preserve">חששות לפגיעה </w:t>
      </w:r>
      <w:r w:rsidR="00911BB6" w:rsidRPr="00871C2C">
        <w:rPr>
          <w:rFonts w:eastAsia="Times New Roman" w:hint="cs"/>
          <w:rtl/>
          <w:lang w:eastAsia="he-IL"/>
        </w:rPr>
        <w:t xml:space="preserve">בתחרות </w:t>
      </w:r>
    </w:p>
    <w:p w14:paraId="1D1CE126" w14:textId="5E7A7A29" w:rsidR="00481277" w:rsidRPr="00871C2C" w:rsidRDefault="00481277" w:rsidP="000A51E2">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ככלל, הסדרי </w:t>
      </w:r>
      <w:r w:rsidRPr="00871C2C">
        <w:rPr>
          <w:rFonts w:eastAsia="Times New Roman"/>
          <w:lang w:eastAsia="he-IL"/>
        </w:rPr>
        <w:t>RPM</w:t>
      </w:r>
      <w:r w:rsidRPr="00871C2C">
        <w:rPr>
          <w:rFonts w:eastAsia="Times New Roman" w:hint="cs"/>
          <w:rtl/>
          <w:lang w:eastAsia="he-IL"/>
        </w:rPr>
        <w:t xml:space="preserve"> </w:t>
      </w:r>
      <w:r w:rsidR="000A51E2" w:rsidRPr="00871C2C">
        <w:rPr>
          <w:rFonts w:eastAsia="Times New Roman" w:hint="cs"/>
          <w:rtl/>
          <w:lang w:eastAsia="he-IL"/>
        </w:rPr>
        <w:t>הנוגעים ל</w:t>
      </w:r>
      <w:r w:rsidRPr="00871C2C">
        <w:rPr>
          <w:rFonts w:eastAsia="Times New Roman" w:hint="cs"/>
          <w:rtl/>
          <w:lang w:eastAsia="he-IL"/>
        </w:rPr>
        <w:t>מקטע הקמעונאי מעוררים חשש לפגיעה בתחרות בעיקר כאשר קיימת ריכוזיות גבוהה</w:t>
      </w:r>
      <w:r w:rsidR="00CA5E07" w:rsidRPr="00871C2C">
        <w:rPr>
          <w:rFonts w:eastAsia="Times New Roman" w:hint="cs"/>
          <w:rtl/>
          <w:lang w:eastAsia="he-IL"/>
        </w:rPr>
        <w:t xml:space="preserve"> במקטע הספקים, במקטע הקמעונאי</w:t>
      </w:r>
      <w:r w:rsidRPr="00871C2C">
        <w:rPr>
          <w:rFonts w:eastAsia="Times New Roman" w:hint="cs"/>
          <w:rtl/>
          <w:lang w:eastAsia="he-IL"/>
        </w:rPr>
        <w:t xml:space="preserve"> או בשניהם, </w:t>
      </w:r>
      <w:r w:rsidR="00CA5E07" w:rsidRPr="00871C2C">
        <w:rPr>
          <w:rFonts w:eastAsia="Times New Roman" w:hint="cs"/>
          <w:rtl/>
          <w:lang w:eastAsia="he-IL"/>
        </w:rPr>
        <w:t xml:space="preserve">הכל </w:t>
      </w:r>
      <w:r w:rsidRPr="00871C2C">
        <w:rPr>
          <w:rFonts w:eastAsia="Times New Roman" w:hint="cs"/>
          <w:rtl/>
          <w:lang w:eastAsia="he-IL"/>
        </w:rPr>
        <w:t>כפי שנרחיב עתה.</w:t>
      </w:r>
    </w:p>
    <w:p w14:paraId="37116416" w14:textId="38969571" w:rsidR="00911BB6" w:rsidRPr="00871C2C" w:rsidRDefault="00911BB6" w:rsidP="00D24403">
      <w:pPr>
        <w:tabs>
          <w:tab w:val="left" w:pos="374"/>
        </w:tabs>
        <w:spacing w:before="120" w:after="120" w:line="360" w:lineRule="exact"/>
        <w:jc w:val="both"/>
        <w:rPr>
          <w:i/>
          <w:iCs/>
          <w:rtl/>
        </w:rPr>
      </w:pPr>
      <w:r w:rsidRPr="00871C2C">
        <w:rPr>
          <w:rFonts w:hint="cs"/>
          <w:i/>
          <w:iCs/>
          <w:rtl/>
        </w:rPr>
        <w:t>חשש להקלה על שיווי משקל מתואם במקטע הספקים</w:t>
      </w:r>
    </w:p>
    <w:p w14:paraId="6E89C667" w14:textId="560D4EA9" w:rsidR="00D24403" w:rsidRPr="00871C2C" w:rsidRDefault="008371F7" w:rsidP="00CE17AF">
      <w:pPr>
        <w:tabs>
          <w:tab w:val="left" w:pos="374"/>
        </w:tabs>
        <w:spacing w:before="120" w:after="120" w:line="360" w:lineRule="exact"/>
        <w:jc w:val="both"/>
        <w:rPr>
          <w:rtl/>
        </w:rPr>
      </w:pPr>
      <w:r w:rsidRPr="00871C2C">
        <w:rPr>
          <w:rFonts w:hint="cs"/>
          <w:rtl/>
        </w:rPr>
        <w:t>במקטע הספקים, הסדר ה-</w:t>
      </w:r>
      <w:r w:rsidRPr="00871C2C">
        <w:t>RPM</w:t>
      </w:r>
      <w:r w:rsidRPr="00871C2C">
        <w:rPr>
          <w:rFonts w:hint="cs"/>
          <w:rtl/>
        </w:rPr>
        <w:t xml:space="preserve"> עלול להקל על </w:t>
      </w:r>
      <w:r w:rsidR="00C21004" w:rsidRPr="00871C2C">
        <w:rPr>
          <w:rFonts w:hint="cs"/>
          <w:rtl/>
        </w:rPr>
        <w:t>הגעה ל</w:t>
      </w:r>
      <w:r w:rsidRPr="00871C2C">
        <w:rPr>
          <w:rFonts w:hint="cs"/>
          <w:rtl/>
        </w:rPr>
        <w:t>שיווי משקל מתואם</w:t>
      </w:r>
      <w:r w:rsidR="00C21004" w:rsidRPr="00871C2C">
        <w:rPr>
          <w:rFonts w:hint="cs"/>
          <w:rtl/>
        </w:rPr>
        <w:t xml:space="preserve"> ושמירה עליו</w:t>
      </w:r>
      <w:r w:rsidRPr="00871C2C">
        <w:rPr>
          <w:rFonts w:hint="cs"/>
          <w:rtl/>
        </w:rPr>
        <w:t>.</w:t>
      </w:r>
      <w:r w:rsidR="00D24403" w:rsidRPr="00871C2C">
        <w:rPr>
          <w:rFonts w:hint="cs"/>
          <w:rtl/>
        </w:rPr>
        <w:t xml:space="preserve"> </w:t>
      </w:r>
      <w:r w:rsidR="00EF5A70" w:rsidRPr="00871C2C">
        <w:rPr>
          <w:rFonts w:hint="cs"/>
          <w:rtl/>
        </w:rPr>
        <w:t xml:space="preserve">בהיעדר הסדר </w:t>
      </w:r>
      <w:r w:rsidR="00EF5A70" w:rsidRPr="00871C2C">
        <w:rPr>
          <w:rFonts w:hint="cs"/>
        </w:rPr>
        <w:t>RPM</w:t>
      </w:r>
      <w:r w:rsidR="00591E5B" w:rsidRPr="00871C2C">
        <w:rPr>
          <w:rFonts w:hint="cs"/>
          <w:rtl/>
        </w:rPr>
        <w:t>, כל ספק קובע מחיר סיטונאי בלבד</w:t>
      </w:r>
      <w:r w:rsidR="003D0759" w:rsidRPr="00871C2C">
        <w:rPr>
          <w:rFonts w:hint="cs"/>
          <w:rtl/>
        </w:rPr>
        <w:t>,</w:t>
      </w:r>
      <w:r w:rsidR="00591E5B" w:rsidRPr="00871C2C">
        <w:rPr>
          <w:rFonts w:hint="cs"/>
          <w:rtl/>
        </w:rPr>
        <w:t xml:space="preserve"> ואינו יכול לקבוע את המחיר הקמעונאי. </w:t>
      </w:r>
      <w:r w:rsidR="003D0759" w:rsidRPr="00871C2C">
        <w:rPr>
          <w:rFonts w:hint="cs"/>
          <w:rtl/>
        </w:rPr>
        <w:t>הואיל וה</w:t>
      </w:r>
      <w:r w:rsidRPr="00871C2C">
        <w:rPr>
          <w:rFonts w:hint="cs"/>
          <w:rtl/>
        </w:rPr>
        <w:t>מחירים הסיטונאי</w:t>
      </w:r>
      <w:r w:rsidR="00EF5A70" w:rsidRPr="00871C2C">
        <w:rPr>
          <w:rFonts w:hint="cs"/>
          <w:rtl/>
        </w:rPr>
        <w:t>י</w:t>
      </w:r>
      <w:r w:rsidRPr="00871C2C">
        <w:rPr>
          <w:rFonts w:hint="cs"/>
          <w:rtl/>
        </w:rPr>
        <w:t xml:space="preserve">ם </w:t>
      </w:r>
      <w:r w:rsidR="00591E5B" w:rsidRPr="00871C2C">
        <w:rPr>
          <w:rFonts w:hint="cs"/>
          <w:rtl/>
        </w:rPr>
        <w:t xml:space="preserve">ככלל אינם שקופים כלפי </w:t>
      </w:r>
      <w:r w:rsidR="001927C4" w:rsidRPr="00871C2C">
        <w:rPr>
          <w:rFonts w:hint="cs"/>
          <w:rtl/>
        </w:rPr>
        <w:t xml:space="preserve">ספקים </w:t>
      </w:r>
      <w:r w:rsidR="00EF5A70" w:rsidRPr="00871C2C">
        <w:rPr>
          <w:rFonts w:hint="cs"/>
          <w:rtl/>
        </w:rPr>
        <w:t>המתחרים</w:t>
      </w:r>
      <w:r w:rsidR="000302C9" w:rsidRPr="00871C2C">
        <w:rPr>
          <w:rFonts w:hint="cs"/>
          <w:rtl/>
        </w:rPr>
        <w:t xml:space="preserve"> זה בזה</w:t>
      </w:r>
      <w:r w:rsidR="00EF5A70" w:rsidRPr="00871C2C">
        <w:rPr>
          <w:rFonts w:hint="cs"/>
          <w:rtl/>
        </w:rPr>
        <w:t xml:space="preserve">, </w:t>
      </w:r>
      <w:r w:rsidR="000302C9" w:rsidRPr="00871C2C">
        <w:rPr>
          <w:rFonts w:hint="cs"/>
          <w:rtl/>
        </w:rPr>
        <w:t xml:space="preserve">הדבר </w:t>
      </w:r>
      <w:r w:rsidR="00B77022" w:rsidRPr="00871C2C">
        <w:rPr>
          <w:rFonts w:hint="cs"/>
          <w:rtl/>
        </w:rPr>
        <w:t xml:space="preserve">מקשה על </w:t>
      </w:r>
      <w:r w:rsidR="003D0759" w:rsidRPr="00871C2C">
        <w:rPr>
          <w:rFonts w:hint="cs"/>
          <w:rtl/>
        </w:rPr>
        <w:t>הספקים לייצב שיווי משקל מתואם הנוגע למחיר הסיטונאי</w:t>
      </w:r>
      <w:r w:rsidR="0032520F" w:rsidRPr="00871C2C">
        <w:rPr>
          <w:rFonts w:hint="cs"/>
          <w:rtl/>
        </w:rPr>
        <w:t xml:space="preserve">. </w:t>
      </w:r>
    </w:p>
    <w:p w14:paraId="7290B75E" w14:textId="15B19321" w:rsidR="002B287A" w:rsidRPr="00871C2C" w:rsidRDefault="00D24403" w:rsidP="00730B6A">
      <w:pPr>
        <w:tabs>
          <w:tab w:val="left" w:pos="374"/>
        </w:tabs>
        <w:spacing w:before="120" w:after="120" w:line="360" w:lineRule="exact"/>
        <w:jc w:val="both"/>
        <w:rPr>
          <w:rtl/>
        </w:rPr>
      </w:pPr>
      <w:r w:rsidRPr="00871C2C">
        <w:rPr>
          <w:rFonts w:hint="cs"/>
          <w:rtl/>
        </w:rPr>
        <w:t xml:space="preserve">הסדרי </w:t>
      </w:r>
      <w:r w:rsidRPr="00871C2C">
        <w:t>RPM</w:t>
      </w:r>
      <w:r w:rsidR="00DB0CA0" w:rsidRPr="00871C2C">
        <w:rPr>
          <w:rFonts w:hint="cs"/>
          <w:rtl/>
        </w:rPr>
        <w:t>, במסגרתם מכתיב הספק מחיר אחיד לקמעונאים,</w:t>
      </w:r>
      <w:r w:rsidRPr="00871C2C">
        <w:rPr>
          <w:rFonts w:hint="cs"/>
          <w:rtl/>
        </w:rPr>
        <w:t xml:space="preserve"> מקלים על </w:t>
      </w:r>
      <w:r w:rsidR="00CA5E07" w:rsidRPr="00871C2C">
        <w:rPr>
          <w:rFonts w:hint="cs"/>
          <w:rtl/>
        </w:rPr>
        <w:t xml:space="preserve">הגעה וייצוב </w:t>
      </w:r>
      <w:r w:rsidRPr="00871C2C">
        <w:rPr>
          <w:rFonts w:hint="cs"/>
          <w:rtl/>
        </w:rPr>
        <w:t xml:space="preserve">שיווי משקל מתואם </w:t>
      </w:r>
      <w:r w:rsidR="00EF1CB3" w:rsidRPr="00871C2C">
        <w:rPr>
          <w:rFonts w:hint="cs"/>
          <w:rtl/>
        </w:rPr>
        <w:t xml:space="preserve">בין הספקים </w:t>
      </w:r>
      <w:r w:rsidR="00DB0CA0" w:rsidRPr="00871C2C">
        <w:rPr>
          <w:rFonts w:hint="cs"/>
          <w:rtl/>
        </w:rPr>
        <w:t>משום</w:t>
      </w:r>
      <w:r w:rsidR="007874DB" w:rsidRPr="00871C2C">
        <w:rPr>
          <w:rFonts w:hint="cs"/>
          <w:rtl/>
        </w:rPr>
        <w:t xml:space="preserve"> </w:t>
      </w:r>
      <w:r w:rsidR="00DB0CA0" w:rsidRPr="00871C2C">
        <w:rPr>
          <w:rFonts w:hint="cs"/>
          <w:rtl/>
        </w:rPr>
        <w:t xml:space="preserve">שהם </w:t>
      </w:r>
      <w:r w:rsidR="003D0759" w:rsidRPr="00871C2C">
        <w:rPr>
          <w:rFonts w:hint="cs"/>
          <w:rtl/>
        </w:rPr>
        <w:t xml:space="preserve">מצמצמים את השונות </w:t>
      </w:r>
      <w:r w:rsidR="002B287A" w:rsidRPr="00871C2C">
        <w:rPr>
          <w:rFonts w:hint="cs"/>
          <w:rtl/>
        </w:rPr>
        <w:t xml:space="preserve">שמתקיימת בדרך כלל </w:t>
      </w:r>
      <w:r w:rsidR="003D0759" w:rsidRPr="00871C2C">
        <w:rPr>
          <w:rFonts w:hint="cs"/>
          <w:rtl/>
        </w:rPr>
        <w:t>במחירים הקמעונאיים</w:t>
      </w:r>
      <w:r w:rsidR="007874DB" w:rsidRPr="00871C2C">
        <w:rPr>
          <w:rFonts w:hint="cs"/>
          <w:rtl/>
        </w:rPr>
        <w:t>. שקיפותם של המחירים הקמעונאיים למתחרי הספק מקל</w:t>
      </w:r>
      <w:r w:rsidR="00DB0CA0" w:rsidRPr="00871C2C">
        <w:rPr>
          <w:rFonts w:hint="cs"/>
          <w:rtl/>
        </w:rPr>
        <w:t>ה</w:t>
      </w:r>
      <w:r w:rsidR="007874DB" w:rsidRPr="00871C2C">
        <w:rPr>
          <w:rFonts w:hint="cs"/>
          <w:rtl/>
        </w:rPr>
        <w:t xml:space="preserve"> בתור</w:t>
      </w:r>
      <w:r w:rsidR="00DB0CA0" w:rsidRPr="00871C2C">
        <w:rPr>
          <w:rFonts w:hint="cs"/>
          <w:rtl/>
        </w:rPr>
        <w:t>ה</w:t>
      </w:r>
      <w:r w:rsidR="007874DB" w:rsidRPr="00871C2C">
        <w:rPr>
          <w:rFonts w:hint="cs"/>
          <w:rtl/>
        </w:rPr>
        <w:t xml:space="preserve"> על הגעה לשיווי משקל מתואם בין הספקים ועל איתור סטיות משיווי משקל זה, באופן המקל על ייצובו. </w:t>
      </w:r>
    </w:p>
    <w:p w14:paraId="1577F71F" w14:textId="18CF17A1" w:rsidR="001470E1" w:rsidRPr="00871C2C" w:rsidRDefault="002B287A" w:rsidP="005510E8">
      <w:pPr>
        <w:tabs>
          <w:tab w:val="left" w:pos="374"/>
        </w:tabs>
        <w:spacing w:before="120" w:after="120" w:line="360" w:lineRule="exact"/>
        <w:jc w:val="both"/>
        <w:rPr>
          <w:rtl/>
        </w:rPr>
      </w:pPr>
      <w:r w:rsidRPr="00871C2C">
        <w:rPr>
          <w:rFonts w:hint="cs"/>
          <w:rtl/>
        </w:rPr>
        <w:t>השימוש בשקיפות המחירים הקמעונאיים כמכשיר אכיפה לשיווי המשקל המתואם</w:t>
      </w:r>
      <w:r w:rsidR="00EF1CB3" w:rsidRPr="00871C2C">
        <w:rPr>
          <w:rFonts w:hint="cs"/>
          <w:rtl/>
        </w:rPr>
        <w:t xml:space="preserve"> בין הספקים</w:t>
      </w:r>
      <w:r w:rsidRPr="00871C2C">
        <w:rPr>
          <w:rFonts w:hint="cs"/>
          <w:rtl/>
        </w:rPr>
        <w:t>, המתאפשר ב</w:t>
      </w:r>
      <w:r w:rsidR="00EF1CB3" w:rsidRPr="00871C2C">
        <w:rPr>
          <w:rFonts w:hint="cs"/>
          <w:rtl/>
        </w:rPr>
        <w:t xml:space="preserve">חסות </w:t>
      </w:r>
      <w:r w:rsidRPr="00871C2C">
        <w:rPr>
          <w:rFonts w:hint="cs"/>
          <w:rtl/>
        </w:rPr>
        <w:t xml:space="preserve">הסדרי </w:t>
      </w:r>
      <w:r w:rsidRPr="00871C2C">
        <w:t>RPM</w:t>
      </w:r>
      <w:r w:rsidRPr="00871C2C">
        <w:rPr>
          <w:rFonts w:hint="cs"/>
          <w:rtl/>
        </w:rPr>
        <w:t xml:space="preserve">, </w:t>
      </w:r>
      <w:r w:rsidR="00EF1CB3" w:rsidRPr="00871C2C">
        <w:rPr>
          <w:rFonts w:hint="cs"/>
          <w:rtl/>
        </w:rPr>
        <w:t xml:space="preserve">עשוי </w:t>
      </w:r>
      <w:r w:rsidRPr="00871C2C">
        <w:rPr>
          <w:rFonts w:hint="cs"/>
          <w:rtl/>
        </w:rPr>
        <w:t xml:space="preserve">אף </w:t>
      </w:r>
      <w:r w:rsidR="00EF1CB3" w:rsidRPr="00871C2C">
        <w:rPr>
          <w:rFonts w:hint="cs"/>
          <w:rtl/>
        </w:rPr>
        <w:t>לה</w:t>
      </w:r>
      <w:r w:rsidRPr="00871C2C">
        <w:rPr>
          <w:rFonts w:hint="cs"/>
          <w:rtl/>
        </w:rPr>
        <w:t xml:space="preserve">פחית את התמריץ של כל ספק לסטות משיווי המשקל בדרך </w:t>
      </w:r>
      <w:r w:rsidR="00C46E13" w:rsidRPr="00871C2C">
        <w:rPr>
          <w:rFonts w:hint="cs"/>
          <w:rtl/>
        </w:rPr>
        <w:t xml:space="preserve">של הורדת המחיר הסיטונאי. </w:t>
      </w:r>
      <w:r w:rsidRPr="00871C2C">
        <w:rPr>
          <w:rFonts w:hint="cs"/>
          <w:rtl/>
        </w:rPr>
        <w:t>סטייה משיווי משקל מתואם בין הספקים דרך הורדת המחיר הסיטונאי עשויה להיות כדאית ככל שההנחה לקמעונאי מגולגלת אל הצרכן</w:t>
      </w:r>
      <w:r w:rsidR="00A06BDF" w:rsidRPr="00871C2C">
        <w:rPr>
          <w:rFonts w:hint="cs"/>
          <w:rtl/>
        </w:rPr>
        <w:t xml:space="preserve"> </w:t>
      </w:r>
      <w:r w:rsidRPr="00871C2C">
        <w:rPr>
          <w:rFonts w:hint="cs"/>
          <w:rtl/>
        </w:rPr>
        <w:t xml:space="preserve">באופן שיוצר עלייה בביקוש למוצר ובכמות הנמכרת ממנו, </w:t>
      </w:r>
      <w:r w:rsidR="005510E8" w:rsidRPr="00871C2C">
        <w:rPr>
          <w:rFonts w:hint="cs"/>
          <w:rtl/>
        </w:rPr>
        <w:t xml:space="preserve">או שהקמעונאי מגדיל את שיעור רכישותיו מהספק, </w:t>
      </w:r>
      <w:r w:rsidRPr="00871C2C">
        <w:rPr>
          <w:rFonts w:hint="cs"/>
          <w:rtl/>
        </w:rPr>
        <w:t xml:space="preserve">כך שהספק יוצא נשכר מהמהלך. </w:t>
      </w:r>
      <w:r w:rsidR="00967B0C" w:rsidRPr="00871C2C">
        <w:rPr>
          <w:rFonts w:hint="cs"/>
          <w:rtl/>
        </w:rPr>
        <w:t>קיבוע המחירים הקמעונאיים</w:t>
      </w:r>
      <w:r w:rsidRPr="00871C2C">
        <w:rPr>
          <w:rFonts w:hint="cs"/>
          <w:rtl/>
        </w:rPr>
        <w:t xml:space="preserve"> במסגרת הסדר ה-</w:t>
      </w:r>
      <w:r w:rsidRPr="00871C2C">
        <w:t>RPM</w:t>
      </w:r>
      <w:r w:rsidRPr="00871C2C">
        <w:rPr>
          <w:rFonts w:hint="cs"/>
          <w:rtl/>
        </w:rPr>
        <w:t xml:space="preserve"> </w:t>
      </w:r>
      <w:r w:rsidR="00DC3731" w:rsidRPr="00871C2C">
        <w:rPr>
          <w:rFonts w:hint="cs"/>
          <w:rtl/>
        </w:rPr>
        <w:t xml:space="preserve">ושקיפותם </w:t>
      </w:r>
      <w:r w:rsidR="00EF1CB3" w:rsidRPr="00871C2C">
        <w:rPr>
          <w:rFonts w:hint="cs"/>
          <w:rtl/>
        </w:rPr>
        <w:t xml:space="preserve">עלולים להביא לכך </w:t>
      </w:r>
      <w:r w:rsidRPr="00871C2C">
        <w:rPr>
          <w:rFonts w:hint="cs"/>
          <w:rtl/>
        </w:rPr>
        <w:t xml:space="preserve">שהורדת המחיר הסיטונאי, כשהיא לעצמה, לא </w:t>
      </w:r>
      <w:r w:rsidRPr="00871C2C">
        <w:rPr>
          <w:rFonts w:hint="cs"/>
          <w:rtl/>
        </w:rPr>
        <w:lastRenderedPageBreak/>
        <w:t>תביא להורדת המחיר הקמעונאי, כלומר, לא תגולגל לצרכן</w:t>
      </w:r>
      <w:r w:rsidR="00EF1CB3" w:rsidRPr="00871C2C">
        <w:rPr>
          <w:rFonts w:hint="cs"/>
          <w:rtl/>
        </w:rPr>
        <w:t>.</w:t>
      </w:r>
      <w:r w:rsidRPr="00871C2C">
        <w:rPr>
          <w:rFonts w:hint="cs"/>
          <w:rtl/>
        </w:rPr>
        <w:t xml:space="preserve"> </w:t>
      </w:r>
      <w:r w:rsidR="00EF1CB3" w:rsidRPr="00871C2C">
        <w:rPr>
          <w:rFonts w:hint="cs"/>
          <w:rtl/>
        </w:rPr>
        <w:t xml:space="preserve">בנסיבות אלה, </w:t>
      </w:r>
      <w:r w:rsidRPr="00871C2C">
        <w:rPr>
          <w:rFonts w:hint="cs"/>
          <w:rtl/>
        </w:rPr>
        <w:t>לא צפויה תוצאה של הגדלת כמות המכירות.</w:t>
      </w:r>
      <w:r w:rsidRPr="00871C2C">
        <w:rPr>
          <w:rStyle w:val="FootnoteReference"/>
          <w:rtl/>
        </w:rPr>
        <w:footnoteReference w:id="20"/>
      </w:r>
      <w:r w:rsidRPr="00871C2C">
        <w:rPr>
          <w:rFonts w:hint="cs"/>
          <w:rtl/>
        </w:rPr>
        <w:t xml:space="preserve"> </w:t>
      </w:r>
    </w:p>
    <w:p w14:paraId="22172035" w14:textId="7F5C72E3" w:rsidR="00523872" w:rsidRPr="00871C2C" w:rsidRDefault="00523872" w:rsidP="00753478">
      <w:pPr>
        <w:tabs>
          <w:tab w:val="left" w:pos="374"/>
        </w:tabs>
        <w:spacing w:before="120" w:after="120" w:line="360" w:lineRule="exact"/>
        <w:jc w:val="both"/>
        <w:rPr>
          <w:rtl/>
        </w:rPr>
      </w:pPr>
      <w:r w:rsidRPr="00871C2C">
        <w:rPr>
          <w:rFonts w:hint="cs"/>
          <w:rtl/>
        </w:rPr>
        <w:t>החשש להקלה על שיווי משקל מתואם</w:t>
      </w:r>
      <w:r w:rsidR="00CD407F" w:rsidRPr="00871C2C">
        <w:rPr>
          <w:rFonts w:hint="cs"/>
          <w:rtl/>
        </w:rPr>
        <w:t xml:space="preserve"> </w:t>
      </w:r>
      <w:r w:rsidRPr="00871C2C">
        <w:rPr>
          <w:rFonts w:hint="cs"/>
          <w:rtl/>
        </w:rPr>
        <w:t xml:space="preserve">מתחדד כאשר </w:t>
      </w:r>
      <w:r w:rsidR="00A04070" w:rsidRPr="00871C2C">
        <w:rPr>
          <w:rFonts w:hint="cs"/>
          <w:rtl/>
        </w:rPr>
        <w:t>שיעור המוצרים בשוק הרלוונטי המכוסים ב</w:t>
      </w:r>
      <w:r w:rsidRPr="00871C2C">
        <w:rPr>
          <w:rFonts w:hint="cs"/>
          <w:rtl/>
        </w:rPr>
        <w:t xml:space="preserve">הסדרי </w:t>
      </w:r>
      <w:r w:rsidRPr="00871C2C">
        <w:t>RPM</w:t>
      </w:r>
      <w:r w:rsidRPr="00871C2C">
        <w:rPr>
          <w:rFonts w:hint="cs"/>
          <w:rtl/>
        </w:rPr>
        <w:t xml:space="preserve"> </w:t>
      </w:r>
      <w:r w:rsidR="00A04070" w:rsidRPr="00871C2C">
        <w:rPr>
          <w:rFonts w:hint="cs"/>
          <w:rtl/>
        </w:rPr>
        <w:t>עולה</w:t>
      </w:r>
      <w:r w:rsidR="00753478" w:rsidRPr="00871C2C">
        <w:rPr>
          <w:rFonts w:hint="cs"/>
          <w:rtl/>
        </w:rPr>
        <w:t>. חשש זה אף מתעצם כאשר תנאי השוק בו מוחלים ההסדרים מגדילים את ההסתברות לקיומו ושימורו של שיווי משקל כאמור.</w:t>
      </w:r>
      <w:r w:rsidR="00753478" w:rsidRPr="00871C2C">
        <w:rPr>
          <w:rStyle w:val="FootnoteReference"/>
          <w:rtl/>
        </w:rPr>
        <w:footnoteReference w:id="21"/>
      </w:r>
      <w:r w:rsidR="00753478" w:rsidRPr="00871C2C">
        <w:rPr>
          <w:rFonts w:hint="cs"/>
          <w:rtl/>
        </w:rPr>
        <w:t xml:space="preserve"> </w:t>
      </w:r>
      <w:r w:rsidR="006C0AF3" w:rsidRPr="00871C2C">
        <w:rPr>
          <w:rFonts w:hint="cs"/>
          <w:rtl/>
        </w:rPr>
        <w:t xml:space="preserve">יחד עם זאת </w:t>
      </w:r>
      <w:r w:rsidR="00753478" w:rsidRPr="00871C2C">
        <w:rPr>
          <w:rFonts w:hint="cs"/>
          <w:rtl/>
        </w:rPr>
        <w:t xml:space="preserve">יוער כי </w:t>
      </w:r>
      <w:r w:rsidR="006C0AF3" w:rsidRPr="00871C2C">
        <w:rPr>
          <w:rFonts w:hint="cs"/>
          <w:rtl/>
        </w:rPr>
        <w:t>שיעור כיסוי גבוה עשוי להעיד על כך שמדובר בשוק ובמוצר אשר מאפייניהם מעלים חשש לכשלי שוק שהסדרי ה-</w:t>
      </w:r>
      <w:r w:rsidR="006C0AF3" w:rsidRPr="00871C2C">
        <w:t>RPM</w:t>
      </w:r>
      <w:r w:rsidR="006C0AF3" w:rsidRPr="00871C2C">
        <w:rPr>
          <w:rFonts w:hint="cs"/>
          <w:rtl/>
        </w:rPr>
        <w:t xml:space="preserve"> </w:t>
      </w:r>
      <w:r w:rsidR="00753478" w:rsidRPr="00871C2C">
        <w:rPr>
          <w:rFonts w:hint="cs"/>
          <w:rtl/>
        </w:rPr>
        <w:t>מסייעים בפתרונם</w:t>
      </w:r>
      <w:r w:rsidR="006C0AF3" w:rsidRPr="00871C2C">
        <w:rPr>
          <w:rFonts w:hint="cs"/>
          <w:rtl/>
        </w:rPr>
        <w:t>, והכל כפי שנרחיב בהמשך</w:t>
      </w:r>
      <w:r w:rsidR="00CE17AF" w:rsidRPr="00871C2C">
        <w:rPr>
          <w:rFonts w:hint="cs"/>
          <w:rtl/>
        </w:rPr>
        <w:t>.</w:t>
      </w:r>
    </w:p>
    <w:p w14:paraId="5D876612" w14:textId="63C600DE" w:rsidR="00911BB6" w:rsidRPr="00871C2C" w:rsidDel="007A1748" w:rsidRDefault="00911BB6" w:rsidP="00152609">
      <w:pPr>
        <w:tabs>
          <w:tab w:val="left" w:pos="374"/>
        </w:tabs>
        <w:spacing w:before="120" w:after="120" w:line="360" w:lineRule="exact"/>
        <w:jc w:val="both"/>
        <w:rPr>
          <w:i/>
          <w:iCs/>
          <w:rtl/>
        </w:rPr>
      </w:pPr>
      <w:r w:rsidRPr="00871C2C" w:rsidDel="007A1748">
        <w:rPr>
          <w:rFonts w:hint="cs"/>
          <w:i/>
          <w:iCs/>
          <w:rtl/>
        </w:rPr>
        <w:t>חשש לצמצום התמריץ של קמעונאים לרסן כוח שוק של ספק דומיננטי</w:t>
      </w:r>
    </w:p>
    <w:p w14:paraId="759ED031" w14:textId="474EB61B" w:rsidR="00400D28" w:rsidRPr="00871C2C" w:rsidDel="007A1748" w:rsidRDefault="00400D28" w:rsidP="00987440">
      <w:pPr>
        <w:spacing w:line="360" w:lineRule="auto"/>
        <w:jc w:val="both"/>
      </w:pPr>
      <w:r w:rsidRPr="00871C2C" w:rsidDel="007A1748">
        <w:rPr>
          <w:rtl/>
        </w:rPr>
        <w:t xml:space="preserve">הסדרי </w:t>
      </w:r>
      <w:r w:rsidRPr="00871C2C" w:rsidDel="007A1748">
        <w:t>RPM</w:t>
      </w:r>
      <w:r w:rsidRPr="00871C2C" w:rsidDel="007A1748">
        <w:rPr>
          <w:rtl/>
        </w:rPr>
        <w:t xml:space="preserve"> </w:t>
      </w:r>
      <w:r w:rsidRPr="00871C2C" w:rsidDel="007A1748">
        <w:rPr>
          <w:rFonts w:hint="cs"/>
          <w:rtl/>
        </w:rPr>
        <w:t xml:space="preserve">עשויים, בנסיבות מסוימות, להקל על הפעלת כוח שוק </w:t>
      </w:r>
      <w:r w:rsidRPr="00871C2C" w:rsidDel="007A1748">
        <w:rPr>
          <w:rtl/>
        </w:rPr>
        <w:t>על ידי ספק דומיננטי</w:t>
      </w:r>
      <w:r w:rsidR="00BF04A9" w:rsidRPr="00871C2C">
        <w:rPr>
          <w:rFonts w:hint="cs"/>
          <w:rtl/>
        </w:rPr>
        <w:t xml:space="preserve">, בכך שהם עשויים לצמצם את התמריץ של קמעונאים חזקים </w:t>
      </w:r>
      <w:r w:rsidR="00753478" w:rsidRPr="00871C2C">
        <w:rPr>
          <w:rFonts w:hint="cs"/>
          <w:rtl/>
        </w:rPr>
        <w:t xml:space="preserve">לנצל את </w:t>
      </w:r>
      <w:r w:rsidR="00BF04A9" w:rsidRPr="00871C2C">
        <w:rPr>
          <w:rFonts w:hint="cs"/>
          <w:rtl/>
        </w:rPr>
        <w:t>כוח המיקוח שבידיהם על מנת לרסנו</w:t>
      </w:r>
      <w:r w:rsidRPr="00871C2C" w:rsidDel="007A1748">
        <w:rPr>
          <w:rtl/>
        </w:rPr>
        <w:t xml:space="preserve">. </w:t>
      </w:r>
      <w:r w:rsidR="00BF04A9" w:rsidRPr="00871C2C">
        <w:rPr>
          <w:rFonts w:hint="cs"/>
          <w:rtl/>
        </w:rPr>
        <w:t xml:space="preserve">משכך, כאשר קיים ספק דומיננטי הפועל מול מספר קמעונאים </w:t>
      </w:r>
      <w:r w:rsidR="006C0FFE" w:rsidRPr="00871C2C">
        <w:rPr>
          <w:rFonts w:hint="cs"/>
          <w:rtl/>
        </w:rPr>
        <w:t>חזקים</w:t>
      </w:r>
      <w:r w:rsidR="00BF04A9" w:rsidRPr="00871C2C">
        <w:rPr>
          <w:rFonts w:hint="cs"/>
          <w:rtl/>
        </w:rPr>
        <w:t xml:space="preserve"> </w:t>
      </w:r>
      <w:r w:rsidRPr="00871C2C" w:rsidDel="007A1748">
        <w:rPr>
          <w:rFonts w:hint="cs"/>
          <w:rtl/>
        </w:rPr>
        <w:t>שמתחרים זה בזה</w:t>
      </w:r>
      <w:r w:rsidRPr="00871C2C" w:rsidDel="007A1748">
        <w:rPr>
          <w:rtl/>
        </w:rPr>
        <w:t>, הסדרי</w:t>
      </w:r>
      <w:r w:rsidR="0087160B" w:rsidRPr="00871C2C" w:rsidDel="007A1748">
        <w:rPr>
          <w:rFonts w:hint="cs"/>
          <w:rtl/>
        </w:rPr>
        <w:t xml:space="preserve"> </w:t>
      </w:r>
      <w:r w:rsidR="0087160B" w:rsidRPr="00871C2C" w:rsidDel="007A1748">
        <w:t>RPM</w:t>
      </w:r>
      <w:r w:rsidRPr="00871C2C" w:rsidDel="007A1748">
        <w:rPr>
          <w:rtl/>
        </w:rPr>
        <w:t xml:space="preserve"> </w:t>
      </w:r>
      <w:r w:rsidR="00BF04A9" w:rsidRPr="00871C2C">
        <w:rPr>
          <w:rFonts w:hint="cs"/>
          <w:rtl/>
        </w:rPr>
        <w:t xml:space="preserve">בין הספק לבין הקמעונאים </w:t>
      </w:r>
      <w:r w:rsidRPr="00871C2C" w:rsidDel="007A1748">
        <w:rPr>
          <w:rtl/>
        </w:rPr>
        <w:t>עלולים לתמוך בשיווי משקל שמאפשר לספק לשמר רמת מחירים למוצריו</w:t>
      </w:r>
      <w:r w:rsidR="0087160B" w:rsidRPr="00871C2C" w:rsidDel="007A1748">
        <w:rPr>
          <w:rFonts w:hint="cs"/>
          <w:rtl/>
        </w:rPr>
        <w:t>,</w:t>
      </w:r>
      <w:r w:rsidRPr="00871C2C" w:rsidDel="007A1748">
        <w:rPr>
          <w:rtl/>
        </w:rPr>
        <w:t xml:space="preserve"> הגבוהה מזו שהי</w:t>
      </w:r>
      <w:r w:rsidR="00057F77" w:rsidRPr="00871C2C" w:rsidDel="007A1748">
        <w:rPr>
          <w:rFonts w:hint="cs"/>
          <w:rtl/>
        </w:rPr>
        <w:t>י</w:t>
      </w:r>
      <w:r w:rsidRPr="00871C2C" w:rsidDel="007A1748">
        <w:rPr>
          <w:rtl/>
        </w:rPr>
        <w:t>תה שוררת לו הי</w:t>
      </w:r>
      <w:r w:rsidR="00057F77" w:rsidRPr="00871C2C" w:rsidDel="007A1748">
        <w:rPr>
          <w:rFonts w:hint="cs"/>
          <w:rtl/>
        </w:rPr>
        <w:t>י</w:t>
      </w:r>
      <w:r w:rsidRPr="00871C2C" w:rsidDel="007A1748">
        <w:rPr>
          <w:rtl/>
        </w:rPr>
        <w:t>תה מתקיימת תחרות בין קמעונאים אלו</w:t>
      </w:r>
      <w:r w:rsidR="00BF04A9" w:rsidRPr="00871C2C">
        <w:rPr>
          <w:rFonts w:hint="cs"/>
          <w:rtl/>
        </w:rPr>
        <w:t xml:space="preserve"> בהיבט המחיר לצרכן</w:t>
      </w:r>
      <w:r w:rsidRPr="00871C2C" w:rsidDel="007A1748">
        <w:rPr>
          <w:rtl/>
        </w:rPr>
        <w:t>.</w:t>
      </w:r>
      <w:r w:rsidR="00B02B49" w:rsidRPr="00871C2C">
        <w:rPr>
          <w:rStyle w:val="FootnoteReference"/>
          <w:rtl/>
        </w:rPr>
        <w:footnoteReference w:id="22"/>
      </w:r>
    </w:p>
    <w:p w14:paraId="68A5DD70" w14:textId="409002E9" w:rsidR="00400D28" w:rsidRPr="00871C2C" w:rsidDel="007A1748" w:rsidRDefault="00C46E13" w:rsidP="00B64218">
      <w:pPr>
        <w:spacing w:line="360" w:lineRule="auto"/>
        <w:jc w:val="both"/>
        <w:rPr>
          <w:rtl/>
        </w:rPr>
      </w:pPr>
      <w:r w:rsidRPr="00871C2C" w:rsidDel="007A1748">
        <w:rPr>
          <w:rFonts w:hint="cs"/>
          <w:rtl/>
        </w:rPr>
        <w:t xml:space="preserve">השפעתם של הסדרי </w:t>
      </w:r>
      <w:r w:rsidRPr="00871C2C" w:rsidDel="007A1748">
        <w:t>RPM</w:t>
      </w:r>
      <w:r w:rsidRPr="00871C2C" w:rsidDel="007A1748">
        <w:rPr>
          <w:rFonts w:hint="cs"/>
          <w:rtl/>
        </w:rPr>
        <w:t xml:space="preserve"> </w:t>
      </w:r>
      <w:r w:rsidR="00400D28" w:rsidRPr="00871C2C" w:rsidDel="007A1748">
        <w:rPr>
          <w:rFonts w:hint="cs"/>
          <w:rtl/>
        </w:rPr>
        <w:t xml:space="preserve">בנסיבות אלו מבוססת על המנגנון הכלכלי הבא: ככל שיש לקמעונאים </w:t>
      </w:r>
      <w:r w:rsidR="00BF04A9" w:rsidRPr="00871C2C">
        <w:rPr>
          <w:rFonts w:hint="cs"/>
          <w:rtl/>
        </w:rPr>
        <w:t>החזקים</w:t>
      </w:r>
      <w:r w:rsidR="00BF04A9" w:rsidRPr="00871C2C" w:rsidDel="007A1748">
        <w:rPr>
          <w:rFonts w:hint="cs"/>
          <w:rtl/>
        </w:rPr>
        <w:t xml:space="preserve"> </w:t>
      </w:r>
      <w:r w:rsidR="00400D28" w:rsidRPr="00871C2C" w:rsidDel="007A1748">
        <w:rPr>
          <w:rFonts w:hint="cs"/>
          <w:rtl/>
        </w:rPr>
        <w:t>במבנה שוק כזה כוח מיקוח מול הספק, כל קמעונאי מסוגל להפעילו על מנת להשיג הנחות במחיר הסיטונאי כדי להגביר את יכולתו להתחרות בקמעונאים האחרים ולהגדיל את נתח השוק שלו על חשבונם על דרך הורדת המחיר לצרכן.</w:t>
      </w:r>
      <w:r w:rsidR="00400D28" w:rsidRPr="00871C2C" w:rsidDel="007A1748">
        <w:rPr>
          <w:rStyle w:val="FootnoteReference"/>
          <w:rtl/>
        </w:rPr>
        <w:footnoteReference w:id="23"/>
      </w:r>
      <w:r w:rsidR="00400D28" w:rsidRPr="00871C2C" w:rsidDel="007A1748">
        <w:rPr>
          <w:rFonts w:hint="cs"/>
          <w:rtl/>
        </w:rPr>
        <w:t xml:space="preserve"> בתרחיש כזה, לעיתים נוצר תמריץ משותף לספק ולקמעונאים להגיע להסדר המרכך את התחרות במקטע הקמעונאי. </w:t>
      </w:r>
      <w:r w:rsidR="0087160B" w:rsidRPr="00871C2C" w:rsidDel="007A1748">
        <w:rPr>
          <w:rFonts w:hint="cs"/>
          <w:rtl/>
        </w:rPr>
        <w:t>באמצעות</w:t>
      </w:r>
      <w:r w:rsidR="00400D28" w:rsidRPr="00871C2C" w:rsidDel="007A1748">
        <w:rPr>
          <w:rFonts w:hint="cs"/>
          <w:rtl/>
        </w:rPr>
        <w:t xml:space="preserve"> קיבוע המחיר לצרכן, הסדר </w:t>
      </w:r>
      <w:r w:rsidR="005D024D" w:rsidRPr="00871C2C" w:rsidDel="007A1748">
        <w:t>RPM</w:t>
      </w:r>
      <w:r w:rsidR="005D024D" w:rsidRPr="00871C2C" w:rsidDel="007A1748">
        <w:rPr>
          <w:rFonts w:hint="cs"/>
          <w:rtl/>
        </w:rPr>
        <w:t xml:space="preserve"> </w:t>
      </w:r>
      <w:r w:rsidR="00400D28" w:rsidRPr="00871C2C" w:rsidDel="007A1748">
        <w:rPr>
          <w:rFonts w:hint="cs"/>
          <w:rtl/>
        </w:rPr>
        <w:t>מול הקמעונאים אינו מאפשר לאף אחד מהם לגלגל הנחה שהוא מקבל במחיר הסיט</w:t>
      </w:r>
      <w:r w:rsidR="00057F77" w:rsidRPr="00871C2C" w:rsidDel="007A1748">
        <w:rPr>
          <w:rFonts w:hint="cs"/>
          <w:rtl/>
        </w:rPr>
        <w:t>ו</w:t>
      </w:r>
      <w:r w:rsidR="00400D28" w:rsidRPr="00871C2C" w:rsidDel="007A1748">
        <w:rPr>
          <w:rFonts w:hint="cs"/>
          <w:rtl/>
        </w:rPr>
        <w:t>נאי למחיר לצרכן, ולכן הוא מפחית מהתמריץ של הקמעונאי</w:t>
      </w:r>
      <w:r w:rsidRPr="00871C2C" w:rsidDel="007A1748">
        <w:rPr>
          <w:rFonts w:hint="cs"/>
          <w:rtl/>
        </w:rPr>
        <w:t xml:space="preserve"> לדרוש הנחות</w:t>
      </w:r>
      <w:r w:rsidR="00400D28" w:rsidRPr="00871C2C" w:rsidDel="007A1748">
        <w:rPr>
          <w:rFonts w:hint="cs"/>
          <w:rtl/>
        </w:rPr>
        <w:t xml:space="preserve"> מהספק מ</w:t>
      </w:r>
      <w:r w:rsidR="00057F77" w:rsidRPr="00871C2C" w:rsidDel="007A1748">
        <w:rPr>
          <w:rFonts w:hint="cs"/>
          <w:rtl/>
        </w:rPr>
        <w:t>לכ</w:t>
      </w:r>
      <w:r w:rsidR="00400D28" w:rsidRPr="00871C2C" w:rsidDel="007A1748">
        <w:rPr>
          <w:rFonts w:hint="cs"/>
          <w:rtl/>
        </w:rPr>
        <w:t>תחילה. הקטנת התמריץ של הקמעונאים לדרוש הנחות שיובילו למחיר נמוך יותר לצרכן מגדילה את הרווח הכולל של הספק והקמעונאים על חשבון רווחת הצרכן, ובפרט תורמת ליכולת הספק הדומי</w:t>
      </w:r>
      <w:r w:rsidR="00952802" w:rsidRPr="00871C2C">
        <w:rPr>
          <w:rFonts w:hint="cs"/>
          <w:rtl/>
        </w:rPr>
        <w:t>ננטי להפעיל כוח שוק על הצרכן</w:t>
      </w:r>
      <w:r w:rsidR="00B02B49" w:rsidRPr="00871C2C">
        <w:rPr>
          <w:rFonts w:hint="cs"/>
          <w:rtl/>
        </w:rPr>
        <w:t>.</w:t>
      </w:r>
      <w:r w:rsidR="00B64218" w:rsidRPr="00871C2C">
        <w:rPr>
          <w:rStyle w:val="FootnoteReference"/>
          <w:rtl/>
        </w:rPr>
        <w:t xml:space="preserve"> </w:t>
      </w:r>
      <w:r w:rsidR="00B64218" w:rsidRPr="00871C2C">
        <w:rPr>
          <w:rStyle w:val="FootnoteReference"/>
          <w:rtl/>
        </w:rPr>
        <w:footnoteReference w:id="24"/>
      </w:r>
      <w:r w:rsidR="00400D28" w:rsidRPr="00871C2C" w:rsidDel="007A1748">
        <w:rPr>
          <w:rtl/>
        </w:rPr>
        <w:t xml:space="preserve"> </w:t>
      </w:r>
      <w:r w:rsidR="00400D28" w:rsidRPr="00871C2C" w:rsidDel="007A1748">
        <w:rPr>
          <w:rStyle w:val="FootnoteReference"/>
          <w:rFonts w:hint="cs"/>
          <w:rtl/>
        </w:rPr>
        <w:t xml:space="preserve"> </w:t>
      </w:r>
      <w:r w:rsidR="00400D28" w:rsidRPr="00871C2C" w:rsidDel="007A1748">
        <w:rPr>
          <w:rFonts w:hint="cs"/>
          <w:rtl/>
        </w:rPr>
        <w:t> </w:t>
      </w:r>
    </w:p>
    <w:p w14:paraId="1C11883C" w14:textId="7D72BB9D" w:rsidR="00BF04A9" w:rsidRPr="00871C2C" w:rsidRDefault="00400D28" w:rsidP="00524B50">
      <w:pPr>
        <w:spacing w:line="360" w:lineRule="auto"/>
        <w:jc w:val="both"/>
        <w:rPr>
          <w:rtl/>
        </w:rPr>
      </w:pPr>
      <w:r w:rsidRPr="00871C2C" w:rsidDel="007A1748">
        <w:rPr>
          <w:rtl/>
        </w:rPr>
        <w:t xml:space="preserve">חשש זה מהסדר </w:t>
      </w:r>
      <w:r w:rsidR="005510E8" w:rsidRPr="00871C2C" w:rsidDel="007A1748">
        <w:t xml:space="preserve"> </w:t>
      </w:r>
      <w:r w:rsidR="005D024D" w:rsidRPr="00871C2C" w:rsidDel="007A1748">
        <w:t>RPM</w:t>
      </w:r>
      <w:r w:rsidRPr="00871C2C" w:rsidDel="007A1748">
        <w:rPr>
          <w:rtl/>
        </w:rPr>
        <w:t>מתקיים במקרים בהם התחרות הבין-מותגית חלשה ולכן הספק יכול להגדיל רווח על ידי העלאת מחיר ביחס למחיר בהעדר הסדר ה-</w:t>
      </w:r>
      <w:r w:rsidR="00824086" w:rsidRPr="00871C2C" w:rsidDel="007A1748">
        <w:t>RPM</w:t>
      </w:r>
      <w:r w:rsidRPr="00871C2C" w:rsidDel="007A1748">
        <w:rPr>
          <w:rtl/>
        </w:rPr>
        <w:t xml:space="preserve">. </w:t>
      </w:r>
      <w:r w:rsidR="004D0361" w:rsidRPr="00871C2C">
        <w:rPr>
          <w:rStyle w:val="CommentReference"/>
          <w:rtl/>
        </w:rPr>
        <w:t xml:space="preserve"> </w:t>
      </w:r>
      <w:r w:rsidR="00BF04A9" w:rsidRPr="00871C2C">
        <w:rPr>
          <w:rtl/>
        </w:rPr>
        <w:t xml:space="preserve"> </w:t>
      </w:r>
      <w:r w:rsidR="00BF04A9" w:rsidRPr="00871C2C">
        <w:rPr>
          <w:rStyle w:val="FootnoteReference"/>
          <w:rFonts w:hint="cs"/>
          <w:rtl/>
        </w:rPr>
        <w:t xml:space="preserve"> </w:t>
      </w:r>
      <w:r w:rsidR="00BF04A9" w:rsidRPr="00871C2C">
        <w:rPr>
          <w:rFonts w:hint="cs"/>
          <w:rtl/>
        </w:rPr>
        <w:t> </w:t>
      </w:r>
    </w:p>
    <w:p w14:paraId="596689BF" w14:textId="5FFA6C1F" w:rsidR="00911BB6" w:rsidRPr="00871C2C" w:rsidRDefault="00911BB6" w:rsidP="00C31AB1">
      <w:pPr>
        <w:tabs>
          <w:tab w:val="left" w:pos="374"/>
        </w:tabs>
        <w:spacing w:before="120" w:after="120" w:line="360" w:lineRule="exact"/>
        <w:jc w:val="both"/>
        <w:rPr>
          <w:i/>
          <w:iCs/>
          <w:rtl/>
        </w:rPr>
      </w:pPr>
      <w:r w:rsidRPr="00871C2C">
        <w:rPr>
          <w:rFonts w:hint="cs"/>
          <w:i/>
          <w:iCs/>
          <w:rtl/>
        </w:rPr>
        <w:t>חשש להקלה על שיווי משקל מתואם במקטע הקמעונאי</w:t>
      </w:r>
    </w:p>
    <w:p w14:paraId="2D070D7D" w14:textId="08D65519" w:rsidR="00AC46C0" w:rsidRPr="00871C2C" w:rsidRDefault="0026776C" w:rsidP="005510E8">
      <w:pPr>
        <w:tabs>
          <w:tab w:val="left" w:pos="374"/>
        </w:tabs>
        <w:spacing w:before="120" w:after="120" w:line="360" w:lineRule="exact"/>
        <w:jc w:val="both"/>
        <w:rPr>
          <w:rtl/>
        </w:rPr>
      </w:pPr>
      <w:r w:rsidRPr="00871C2C">
        <w:rPr>
          <w:rFonts w:hint="cs"/>
          <w:rtl/>
        </w:rPr>
        <w:lastRenderedPageBreak/>
        <w:t xml:space="preserve">במקרים מסוימים, הסדר </w:t>
      </w:r>
      <w:r w:rsidRPr="00871C2C">
        <w:t>RPM</w:t>
      </w:r>
      <w:r w:rsidRPr="00871C2C">
        <w:rPr>
          <w:rFonts w:hint="cs"/>
          <w:rtl/>
        </w:rPr>
        <w:t xml:space="preserve"> עלול לסייע לקמעונאים המעוניינים להגיע</w:t>
      </w:r>
      <w:r w:rsidR="00CD407F" w:rsidRPr="00871C2C">
        <w:rPr>
          <w:rFonts w:hint="cs"/>
          <w:rtl/>
        </w:rPr>
        <w:t xml:space="preserve"> לשיווי משקל מתואם ביניהם</w:t>
      </w:r>
      <w:r w:rsidR="007C0A3A" w:rsidRPr="00871C2C">
        <w:rPr>
          <w:rFonts w:hint="cs"/>
          <w:rtl/>
        </w:rPr>
        <w:t xml:space="preserve"> שלא בדרך של תיאום אופקי אסור</w:t>
      </w:r>
      <w:r w:rsidR="00CD407F" w:rsidRPr="00871C2C">
        <w:rPr>
          <w:rFonts w:hint="cs"/>
          <w:rtl/>
        </w:rPr>
        <w:t>, וזאת</w:t>
      </w:r>
      <w:r w:rsidR="00AC46C0" w:rsidRPr="00871C2C">
        <w:rPr>
          <w:rFonts w:hint="cs"/>
          <w:rtl/>
        </w:rPr>
        <w:t xml:space="preserve"> בשתי דרכים</w:t>
      </w:r>
      <w:r w:rsidR="00C14BE0" w:rsidRPr="00871C2C">
        <w:rPr>
          <w:rFonts w:hint="cs"/>
          <w:rtl/>
        </w:rPr>
        <w:t xml:space="preserve"> עיקריות</w:t>
      </w:r>
      <w:r w:rsidR="00AC46C0" w:rsidRPr="00871C2C">
        <w:rPr>
          <w:rFonts w:hint="cs"/>
          <w:rtl/>
        </w:rPr>
        <w:t>:</w:t>
      </w:r>
      <w:r w:rsidR="00C14BE0" w:rsidRPr="00871C2C">
        <w:rPr>
          <w:rFonts w:hint="cs"/>
          <w:rtl/>
        </w:rPr>
        <w:t xml:space="preserve"> ראשית,</w:t>
      </w:r>
      <w:r w:rsidR="00AC46C0" w:rsidRPr="00871C2C">
        <w:rPr>
          <w:rFonts w:hint="cs"/>
          <w:rtl/>
        </w:rPr>
        <w:t xml:space="preserve"> הספק המשותף </w:t>
      </w:r>
      <w:r w:rsidR="00B27C1B" w:rsidRPr="00871C2C">
        <w:rPr>
          <w:rFonts w:hint="cs"/>
          <w:rtl/>
        </w:rPr>
        <w:t xml:space="preserve">משמש </w:t>
      </w:r>
      <w:r w:rsidR="00AC46C0" w:rsidRPr="00871C2C">
        <w:rPr>
          <w:rFonts w:hint="cs"/>
          <w:rtl/>
        </w:rPr>
        <w:t>כ"שוטר" לגילוי סטיות משיווי המשקל המתואם ואכיפתן</w:t>
      </w:r>
      <w:r w:rsidR="00C14BE0" w:rsidRPr="00871C2C">
        <w:rPr>
          <w:rFonts w:hint="cs"/>
          <w:rtl/>
        </w:rPr>
        <w:t>;</w:t>
      </w:r>
      <w:r w:rsidR="00AC46C0" w:rsidRPr="00871C2C">
        <w:rPr>
          <w:rFonts w:hint="cs"/>
          <w:rtl/>
        </w:rPr>
        <w:t xml:space="preserve"> ו</w:t>
      </w:r>
      <w:r w:rsidR="00C14BE0" w:rsidRPr="00871C2C">
        <w:rPr>
          <w:rFonts w:hint="cs"/>
          <w:rtl/>
        </w:rPr>
        <w:t xml:space="preserve">שנית, </w:t>
      </w:r>
      <w:r w:rsidR="008B6BA2" w:rsidRPr="00871C2C">
        <w:rPr>
          <w:rFonts w:hint="cs"/>
          <w:rtl/>
        </w:rPr>
        <w:t>הוא עלול להקשות על רשויות האכיפה לזהות את הפסול שיש בהסדר</w:t>
      </w:r>
      <w:r w:rsidR="00AB33B7" w:rsidRPr="00871C2C">
        <w:rPr>
          <w:rFonts w:hint="cs"/>
          <w:rtl/>
        </w:rPr>
        <w:t xml:space="preserve"> ואת ההיבטים האופקיים הברורים שלו</w:t>
      </w:r>
      <w:r w:rsidR="008B6BA2" w:rsidRPr="00871C2C">
        <w:rPr>
          <w:rFonts w:hint="cs"/>
          <w:rtl/>
        </w:rPr>
        <w:t xml:space="preserve">, </w:t>
      </w:r>
      <w:r w:rsidR="00B27C1B" w:rsidRPr="00871C2C">
        <w:rPr>
          <w:rFonts w:hint="cs"/>
          <w:rtl/>
        </w:rPr>
        <w:t xml:space="preserve">בכך </w:t>
      </w:r>
      <w:r w:rsidR="008B6BA2" w:rsidRPr="00871C2C">
        <w:rPr>
          <w:rFonts w:hint="cs"/>
          <w:rtl/>
        </w:rPr>
        <w:t xml:space="preserve">שהוא מעניק </w:t>
      </w:r>
      <w:r w:rsidR="001E2983" w:rsidRPr="00871C2C">
        <w:rPr>
          <w:rFonts w:hint="cs"/>
          <w:rtl/>
        </w:rPr>
        <w:t xml:space="preserve">"כסות" של הסדר ראוי גם להסדר אשר אינו </w:t>
      </w:r>
      <w:r w:rsidR="00B27C1B" w:rsidRPr="00871C2C">
        <w:rPr>
          <w:rFonts w:hint="cs"/>
          <w:rtl/>
        </w:rPr>
        <w:t xml:space="preserve">מקיים </w:t>
      </w:r>
      <w:r w:rsidR="001E2983" w:rsidRPr="00871C2C">
        <w:rPr>
          <w:rFonts w:hint="cs"/>
          <w:rtl/>
        </w:rPr>
        <w:t>כל תועלות פרו-תחרותית</w:t>
      </w:r>
      <w:r w:rsidR="00AC46C0" w:rsidRPr="00871C2C">
        <w:rPr>
          <w:rFonts w:hint="cs"/>
          <w:rtl/>
        </w:rPr>
        <w:t>.</w:t>
      </w:r>
      <w:r w:rsidR="00AC46C0" w:rsidRPr="00871C2C">
        <w:rPr>
          <w:rStyle w:val="FootnoteReference"/>
          <w:rtl/>
        </w:rPr>
        <w:footnoteReference w:id="25"/>
      </w:r>
      <w:r w:rsidR="00AC46C0" w:rsidRPr="00871C2C">
        <w:rPr>
          <w:rFonts w:hint="cs"/>
          <w:rtl/>
        </w:rPr>
        <w:t xml:space="preserve"> </w:t>
      </w:r>
    </w:p>
    <w:p w14:paraId="24DA512F" w14:textId="2FF4351D" w:rsidR="00533100" w:rsidRPr="00871C2C" w:rsidRDefault="006B2A7C" w:rsidP="00CE17AF">
      <w:pPr>
        <w:tabs>
          <w:tab w:val="left" w:pos="374"/>
        </w:tabs>
        <w:spacing w:before="120" w:after="120" w:line="360" w:lineRule="exact"/>
        <w:jc w:val="both"/>
        <w:rPr>
          <w:rtl/>
        </w:rPr>
      </w:pPr>
      <w:r w:rsidRPr="00871C2C">
        <w:rPr>
          <w:rFonts w:hint="cs"/>
          <w:rtl/>
        </w:rPr>
        <w:t xml:space="preserve">ככלל, אין לספק תמריץ לסייע לקמעונאים להגיע לשיווי משקל מתואם, שכן הדבר צפוי להביא לירידת הכמות המבוקשת ובהתאם לירידה ברווחיות הספק. </w:t>
      </w:r>
      <w:r w:rsidR="00F54052" w:rsidRPr="00871C2C">
        <w:rPr>
          <w:rFonts w:hint="cs"/>
          <w:rtl/>
        </w:rPr>
        <w:t>תחת הנחת מוצא זאת</w:t>
      </w:r>
      <w:r w:rsidR="00A1525A" w:rsidRPr="00871C2C">
        <w:rPr>
          <w:rFonts w:hint="cs"/>
          <w:rtl/>
        </w:rPr>
        <w:t xml:space="preserve">, החשש להקלה על שיווי משקל מתואם מתעצם באחד מהמקרים הבאים: </w:t>
      </w:r>
      <w:r w:rsidRPr="00871C2C">
        <w:rPr>
          <w:rFonts w:hint="cs"/>
          <w:rtl/>
        </w:rPr>
        <w:t>לספק עצמו יש תמריץ אנטי-תחרותי לאמץ את ההסדר</w:t>
      </w:r>
      <w:r w:rsidR="004B152E" w:rsidRPr="00871C2C">
        <w:rPr>
          <w:rFonts w:hint="cs"/>
          <w:rtl/>
        </w:rPr>
        <w:t>, שכן</w:t>
      </w:r>
      <w:r w:rsidRPr="00871C2C">
        <w:rPr>
          <w:rFonts w:hint="cs"/>
          <w:rtl/>
        </w:rPr>
        <w:t xml:space="preserve"> </w:t>
      </w:r>
      <w:r w:rsidR="00A1525A" w:rsidRPr="00871C2C">
        <w:rPr>
          <w:rFonts w:hint="cs"/>
          <w:rtl/>
        </w:rPr>
        <w:t xml:space="preserve">מדובר בספק </w:t>
      </w:r>
      <w:r w:rsidR="00BF04A9" w:rsidRPr="00871C2C">
        <w:rPr>
          <w:rFonts w:hint="cs"/>
          <w:rtl/>
        </w:rPr>
        <w:t xml:space="preserve">החותר ליצירה או שימור של שיווי משקל מתואם במקטע הספקים, כפי שהורחב לעיל בחשש הראשון; או שמדובר בספק </w:t>
      </w:r>
      <w:r w:rsidR="00A1525A" w:rsidRPr="00871C2C">
        <w:rPr>
          <w:rFonts w:hint="cs"/>
          <w:rtl/>
        </w:rPr>
        <w:t>דומיננטי</w:t>
      </w:r>
      <w:r w:rsidR="002A1093" w:rsidRPr="00871C2C">
        <w:rPr>
          <w:rFonts w:hint="cs"/>
          <w:rtl/>
        </w:rPr>
        <w:t xml:space="preserve"> ש</w:t>
      </w:r>
      <w:r w:rsidR="00A1525A" w:rsidRPr="00871C2C">
        <w:rPr>
          <w:rFonts w:hint="cs"/>
          <w:rtl/>
        </w:rPr>
        <w:t>מעוניין לנצל את כוחו</w:t>
      </w:r>
      <w:r w:rsidR="00BF04A9" w:rsidRPr="00871C2C">
        <w:rPr>
          <w:rFonts w:hint="cs"/>
          <w:rtl/>
        </w:rPr>
        <w:t>, כפי שהורחב לעיל בחשש השני</w:t>
      </w:r>
      <w:r w:rsidR="004B152E" w:rsidRPr="00871C2C">
        <w:rPr>
          <w:rFonts w:hint="cs"/>
          <w:rtl/>
        </w:rPr>
        <w:t>;</w:t>
      </w:r>
      <w:r w:rsidR="0050152F" w:rsidRPr="00871C2C">
        <w:rPr>
          <w:rFonts w:hint="cs"/>
          <w:rtl/>
        </w:rPr>
        <w:t xml:space="preserve"> </w:t>
      </w:r>
      <w:r w:rsidR="00A1525A" w:rsidRPr="00871C2C">
        <w:rPr>
          <w:rFonts w:hint="cs"/>
          <w:rtl/>
        </w:rPr>
        <w:t xml:space="preserve">או שמדובר בקמעונאים או מפיצים דומיננטיים הפועלים מול ספק חלש יחסית, התלוי בהם. בתרחיש </w:t>
      </w:r>
      <w:r w:rsidR="0050152F" w:rsidRPr="00871C2C">
        <w:rPr>
          <w:rFonts w:hint="cs"/>
          <w:rtl/>
        </w:rPr>
        <w:t>האחרון</w:t>
      </w:r>
      <w:r w:rsidR="00A1525A" w:rsidRPr="00871C2C">
        <w:rPr>
          <w:rFonts w:hint="cs"/>
          <w:rtl/>
        </w:rPr>
        <w:t>, הסדרי ה-</w:t>
      </w:r>
      <w:r w:rsidR="00A1525A" w:rsidRPr="00871C2C">
        <w:t>RPM</w:t>
      </w:r>
      <w:r w:rsidR="00A1525A" w:rsidRPr="00871C2C">
        <w:rPr>
          <w:rFonts w:hint="cs"/>
          <w:rtl/>
        </w:rPr>
        <w:t xml:space="preserve"> יהיו אפקטיביים, מבחינת הגבלת התחרות, בעיקר אם מתקיימים במקביל הסדרי </w:t>
      </w:r>
      <w:r w:rsidR="00A1525A" w:rsidRPr="00871C2C">
        <w:t>RPM</w:t>
      </w:r>
      <w:r w:rsidR="00A1525A" w:rsidRPr="00871C2C">
        <w:rPr>
          <w:rFonts w:hint="cs"/>
          <w:rtl/>
        </w:rPr>
        <w:t xml:space="preserve"> עם ספקים נוספים. אחרת, הצרכנים עשויים לעבור לרכוש מותגים מתחרים מספקים שאינם צדדים להסדר ה-</w:t>
      </w:r>
      <w:r w:rsidR="00A1525A" w:rsidRPr="00871C2C">
        <w:t>RPM</w:t>
      </w:r>
      <w:r w:rsidR="00A1525A" w:rsidRPr="00871C2C">
        <w:rPr>
          <w:rFonts w:hint="cs"/>
          <w:rtl/>
        </w:rPr>
        <w:t>.</w:t>
      </w:r>
      <w:r w:rsidR="0016689B" w:rsidRPr="00871C2C">
        <w:rPr>
          <w:rStyle w:val="FootnoteReference"/>
          <w:rtl/>
        </w:rPr>
        <w:footnoteReference w:id="26"/>
      </w:r>
      <w:r w:rsidR="00A1525A" w:rsidRPr="00871C2C">
        <w:rPr>
          <w:rFonts w:hint="cs"/>
          <w:rtl/>
        </w:rPr>
        <w:t xml:space="preserve"> </w:t>
      </w:r>
    </w:p>
    <w:p w14:paraId="4A426B42" w14:textId="007C1A43" w:rsidR="00957D45" w:rsidRPr="00871C2C" w:rsidRDefault="00BC65AD" w:rsidP="00524B50">
      <w:pPr>
        <w:tabs>
          <w:tab w:val="left" w:pos="374"/>
        </w:tabs>
        <w:spacing w:before="120" w:after="120" w:line="360" w:lineRule="exact"/>
        <w:jc w:val="both"/>
        <w:rPr>
          <w:rtl/>
        </w:rPr>
      </w:pPr>
      <w:r w:rsidRPr="00871C2C">
        <w:rPr>
          <w:rFonts w:hint="cs"/>
          <w:rtl/>
        </w:rPr>
        <w:t>ניטול למשל מקרה היפותטי בו תחפושות לפורים</w:t>
      </w:r>
      <w:r w:rsidR="00EE4B9A" w:rsidRPr="00871C2C">
        <w:rPr>
          <w:rFonts w:hint="cs"/>
          <w:rtl/>
        </w:rPr>
        <w:t xml:space="preserve"> משווקות על ידי שתי רשתות צעצועים גדולות</w:t>
      </w:r>
      <w:r w:rsidRPr="00871C2C">
        <w:rPr>
          <w:rFonts w:hint="cs"/>
          <w:rtl/>
        </w:rPr>
        <w:t>.</w:t>
      </w:r>
      <w:r w:rsidR="00533100" w:rsidRPr="00871C2C">
        <w:rPr>
          <w:rFonts w:hint="cs"/>
          <w:rtl/>
        </w:rPr>
        <w:t xml:space="preserve"> </w:t>
      </w:r>
      <w:r w:rsidR="00EE4B9A" w:rsidRPr="00871C2C">
        <w:rPr>
          <w:rFonts w:hint="cs"/>
          <w:rtl/>
        </w:rPr>
        <w:t xml:space="preserve">הרשתות חפצות </w:t>
      </w:r>
      <w:r w:rsidR="00EF02CE" w:rsidRPr="00871C2C">
        <w:rPr>
          <w:rFonts w:hint="cs"/>
          <w:rtl/>
        </w:rPr>
        <w:t>שלא להתחרות ביניה</w:t>
      </w:r>
      <w:r w:rsidR="004B152E" w:rsidRPr="00871C2C">
        <w:rPr>
          <w:rFonts w:hint="cs"/>
          <w:rtl/>
        </w:rPr>
        <w:t>ן</w:t>
      </w:r>
      <w:r w:rsidR="00EF02CE" w:rsidRPr="00871C2C">
        <w:rPr>
          <w:rFonts w:hint="cs"/>
          <w:rtl/>
        </w:rPr>
        <w:t xml:space="preserve"> על מחיר התחפושות. ההגעה להסדר אופקי ביניה</w:t>
      </w:r>
      <w:r w:rsidR="004B152E" w:rsidRPr="00871C2C">
        <w:rPr>
          <w:rFonts w:hint="cs"/>
          <w:rtl/>
        </w:rPr>
        <w:t>ן</w:t>
      </w:r>
      <w:r w:rsidR="00EF02CE" w:rsidRPr="00871C2C">
        <w:rPr>
          <w:rFonts w:hint="cs"/>
          <w:rtl/>
        </w:rPr>
        <w:t xml:space="preserve"> כרו</w:t>
      </w:r>
      <w:r w:rsidR="007E66D1" w:rsidRPr="00871C2C">
        <w:rPr>
          <w:rFonts w:hint="cs"/>
          <w:rtl/>
        </w:rPr>
        <w:t>כה</w:t>
      </w:r>
      <w:r w:rsidR="00EF02CE" w:rsidRPr="00871C2C">
        <w:rPr>
          <w:rFonts w:hint="cs"/>
          <w:rtl/>
        </w:rPr>
        <w:t xml:space="preserve"> בסיכון משפטי גבוה. </w:t>
      </w:r>
      <w:r w:rsidR="00F50A0C" w:rsidRPr="00871C2C">
        <w:rPr>
          <w:rFonts w:hint="cs"/>
          <w:rtl/>
        </w:rPr>
        <w:t xml:space="preserve">לעומת זאת, </w:t>
      </w:r>
      <w:r w:rsidR="00EF02CE" w:rsidRPr="00871C2C">
        <w:rPr>
          <w:rFonts w:hint="cs"/>
          <w:rtl/>
        </w:rPr>
        <w:t>הניסיון להגיע לשיווי משקל מתואם משתמע, שלא באמצעות הסדר מפורש, כרוך בסיכונים כלכליים גבוהים</w:t>
      </w:r>
      <w:r w:rsidR="004B152E" w:rsidRPr="00871C2C">
        <w:rPr>
          <w:rFonts w:hint="cs"/>
          <w:rtl/>
        </w:rPr>
        <w:t>. זאת</w:t>
      </w:r>
      <w:r w:rsidR="00EF02CE" w:rsidRPr="00871C2C">
        <w:rPr>
          <w:rFonts w:hint="cs"/>
          <w:rtl/>
        </w:rPr>
        <w:t xml:space="preserve"> </w:t>
      </w:r>
      <w:r w:rsidR="00533100" w:rsidRPr="00871C2C">
        <w:rPr>
          <w:rFonts w:hint="cs"/>
          <w:rtl/>
        </w:rPr>
        <w:t xml:space="preserve">מאחר שתקופת הביקוש לתחפושות קצרה, </w:t>
      </w:r>
      <w:r w:rsidR="004B152E" w:rsidRPr="00871C2C">
        <w:rPr>
          <w:rFonts w:hint="cs"/>
          <w:rtl/>
        </w:rPr>
        <w:t>ו</w:t>
      </w:r>
      <w:r w:rsidR="00533100" w:rsidRPr="00871C2C">
        <w:rPr>
          <w:rFonts w:hint="cs"/>
          <w:rtl/>
        </w:rPr>
        <w:t xml:space="preserve">רשת אשר תפרסם מחיר </w:t>
      </w:r>
      <w:r w:rsidR="00EE4B9A" w:rsidRPr="00871C2C">
        <w:rPr>
          <w:rFonts w:hint="cs"/>
          <w:rtl/>
        </w:rPr>
        <w:t xml:space="preserve">נמוך יותר צפויה לגרוף נתח </w:t>
      </w:r>
      <w:r w:rsidR="00533100" w:rsidRPr="00871C2C">
        <w:rPr>
          <w:rFonts w:hint="cs"/>
          <w:rtl/>
        </w:rPr>
        <w:t xml:space="preserve">משמעותי מהמכירות </w:t>
      </w:r>
      <w:r w:rsidR="00372E39" w:rsidRPr="00871C2C">
        <w:rPr>
          <w:rFonts w:hint="cs"/>
          <w:rtl/>
        </w:rPr>
        <w:t xml:space="preserve">על חשבון הרשת </w:t>
      </w:r>
      <w:r w:rsidR="00EE4B9A" w:rsidRPr="00871C2C">
        <w:rPr>
          <w:rFonts w:hint="cs"/>
          <w:rtl/>
        </w:rPr>
        <w:t>השנייה, לפני שהשנייה תספיק להגיב</w:t>
      </w:r>
      <w:r w:rsidR="00AB33B7" w:rsidRPr="00871C2C">
        <w:rPr>
          <w:rFonts w:hint="cs"/>
          <w:rtl/>
        </w:rPr>
        <w:t xml:space="preserve"> בירידה של מחירים מצידה</w:t>
      </w:r>
      <w:r w:rsidR="00533100" w:rsidRPr="00871C2C">
        <w:rPr>
          <w:rFonts w:hint="cs"/>
          <w:rtl/>
        </w:rPr>
        <w:t xml:space="preserve">. </w:t>
      </w:r>
      <w:r w:rsidR="00EF02CE" w:rsidRPr="00871C2C">
        <w:rPr>
          <w:rFonts w:hint="cs"/>
          <w:rtl/>
        </w:rPr>
        <w:t xml:space="preserve">במקרה שכזה, </w:t>
      </w:r>
      <w:r w:rsidR="00570F64" w:rsidRPr="00871C2C">
        <w:rPr>
          <w:rFonts w:hint="cs"/>
          <w:rtl/>
        </w:rPr>
        <w:t xml:space="preserve">התקשרות של כל רשת </w:t>
      </w:r>
      <w:r w:rsidR="00533100" w:rsidRPr="00871C2C">
        <w:rPr>
          <w:rFonts w:hint="cs"/>
          <w:rtl/>
        </w:rPr>
        <w:t xml:space="preserve">בהסדר </w:t>
      </w:r>
      <w:r w:rsidR="00533100" w:rsidRPr="00871C2C">
        <w:t>RPM</w:t>
      </w:r>
      <w:r w:rsidR="00533100" w:rsidRPr="00871C2C">
        <w:rPr>
          <w:rFonts w:hint="cs"/>
          <w:rtl/>
        </w:rPr>
        <w:t xml:space="preserve"> עם יצרן התחפושות המוביל (או עם שיעור גבוה של יצרני התחפושות</w:t>
      </w:r>
      <w:r w:rsidR="00570F64" w:rsidRPr="00871C2C">
        <w:rPr>
          <w:rFonts w:hint="cs"/>
          <w:rtl/>
        </w:rPr>
        <w:t xml:space="preserve"> אם לא קיים יצרן אחד מוביל</w:t>
      </w:r>
      <w:r w:rsidR="00533100" w:rsidRPr="00871C2C">
        <w:rPr>
          <w:rFonts w:hint="cs"/>
          <w:rtl/>
        </w:rPr>
        <w:t>), עלולה</w:t>
      </w:r>
      <w:r w:rsidR="007E66D1" w:rsidRPr="00871C2C">
        <w:rPr>
          <w:rFonts w:hint="cs"/>
          <w:rtl/>
        </w:rPr>
        <w:t xml:space="preserve"> לאפשר </w:t>
      </w:r>
      <w:r w:rsidR="00EF02CE" w:rsidRPr="00871C2C">
        <w:rPr>
          <w:rFonts w:hint="cs"/>
          <w:rtl/>
        </w:rPr>
        <w:t xml:space="preserve">לרשתות להתגבר על קשיים אלה ולהגיע לתיאום המיוחל: הספק המשותף (או הספקים המשותפים) יוכל </w:t>
      </w:r>
      <w:r w:rsidR="007E66D1" w:rsidRPr="00871C2C">
        <w:rPr>
          <w:rFonts w:hint="cs"/>
          <w:rtl/>
        </w:rPr>
        <w:t>להגיב באמצעים חוזיים ל</w:t>
      </w:r>
      <w:r w:rsidR="00EF02CE" w:rsidRPr="00871C2C">
        <w:rPr>
          <w:rFonts w:hint="cs"/>
          <w:rtl/>
        </w:rPr>
        <w:t xml:space="preserve">סטייה משיווי המשקל המתואם, ובמקביל ההסדר יקבל כסות של הסדר אנכי "תמים" שמידת </w:t>
      </w:r>
      <w:r w:rsidR="007E66D1" w:rsidRPr="00871C2C">
        <w:rPr>
          <w:rFonts w:hint="cs"/>
          <w:rtl/>
        </w:rPr>
        <w:t>ה</w:t>
      </w:r>
      <w:r w:rsidR="00EF02CE" w:rsidRPr="00871C2C">
        <w:rPr>
          <w:rFonts w:hint="cs"/>
          <w:rtl/>
        </w:rPr>
        <w:t>חשיפ</w:t>
      </w:r>
      <w:r w:rsidR="007E66D1" w:rsidRPr="00871C2C">
        <w:rPr>
          <w:rFonts w:hint="cs"/>
          <w:rtl/>
        </w:rPr>
        <w:t>ה</w:t>
      </w:r>
      <w:r w:rsidR="00EF02CE" w:rsidRPr="00871C2C">
        <w:rPr>
          <w:rFonts w:hint="cs"/>
          <w:rtl/>
        </w:rPr>
        <w:t xml:space="preserve"> המשפטית </w:t>
      </w:r>
      <w:r w:rsidR="007E66D1" w:rsidRPr="00871C2C">
        <w:rPr>
          <w:rFonts w:hint="cs"/>
          <w:rtl/>
        </w:rPr>
        <w:t xml:space="preserve">שהוא יוצר </w:t>
      </w:r>
      <w:r w:rsidR="00EF02CE" w:rsidRPr="00871C2C">
        <w:rPr>
          <w:rFonts w:hint="cs"/>
          <w:rtl/>
        </w:rPr>
        <w:t>נמוכה יותר</w:t>
      </w:r>
      <w:r w:rsidR="00957D45" w:rsidRPr="00871C2C">
        <w:rPr>
          <w:rFonts w:hint="cs"/>
          <w:rtl/>
        </w:rPr>
        <w:t>.</w:t>
      </w:r>
    </w:p>
    <w:p w14:paraId="4E20370E" w14:textId="34083A02" w:rsidR="008B6BA2" w:rsidRPr="00871C2C" w:rsidRDefault="006C0FFE" w:rsidP="00524B50">
      <w:pPr>
        <w:tabs>
          <w:tab w:val="left" w:pos="374"/>
        </w:tabs>
        <w:spacing w:before="120" w:after="120" w:line="360" w:lineRule="exact"/>
        <w:jc w:val="both"/>
        <w:rPr>
          <w:rtl/>
        </w:rPr>
      </w:pPr>
      <w:r w:rsidRPr="00871C2C">
        <w:rPr>
          <w:rFonts w:hint="cs"/>
          <w:i/>
          <w:iCs/>
          <w:rtl/>
        </w:rPr>
        <w:t xml:space="preserve">חשש לפגיעה </w:t>
      </w:r>
      <w:r w:rsidR="00524B50" w:rsidRPr="00871C2C">
        <w:rPr>
          <w:rFonts w:hint="cs"/>
          <w:i/>
          <w:iCs/>
          <w:rtl/>
        </w:rPr>
        <w:t>ביכולתם</w:t>
      </w:r>
      <w:r w:rsidRPr="00871C2C">
        <w:rPr>
          <w:rFonts w:hint="cs"/>
          <w:i/>
          <w:iCs/>
          <w:rtl/>
        </w:rPr>
        <w:t xml:space="preserve"> של ספקים או קמעונאים קטנים</w:t>
      </w:r>
      <w:r w:rsidR="00524B50" w:rsidRPr="00871C2C">
        <w:rPr>
          <w:rFonts w:hint="cs"/>
          <w:i/>
          <w:iCs/>
          <w:rtl/>
        </w:rPr>
        <w:t xml:space="preserve"> להתחרות</w:t>
      </w:r>
    </w:p>
    <w:p w14:paraId="21071BDF" w14:textId="73DF605F" w:rsidR="00CE17AF" w:rsidRPr="00871C2C" w:rsidRDefault="006C0FFE" w:rsidP="00535CD3">
      <w:pPr>
        <w:tabs>
          <w:tab w:val="left" w:pos="374"/>
        </w:tabs>
        <w:spacing w:before="120" w:after="120" w:line="360" w:lineRule="exact"/>
        <w:jc w:val="both"/>
        <w:rPr>
          <w:rtl/>
        </w:rPr>
      </w:pPr>
      <w:r w:rsidRPr="00871C2C" w:rsidDel="00C00A05">
        <w:rPr>
          <w:rFonts w:hint="cs"/>
          <w:rtl/>
        </w:rPr>
        <w:t xml:space="preserve">בנסיבות מסוימות הסדרי </w:t>
      </w:r>
      <w:r w:rsidRPr="00871C2C" w:rsidDel="00C00A05">
        <w:t>RPM</w:t>
      </w:r>
      <w:r w:rsidRPr="00871C2C" w:rsidDel="00C00A05">
        <w:rPr>
          <w:rFonts w:hint="cs"/>
          <w:rtl/>
        </w:rPr>
        <w:t xml:space="preserve"> עלולים להעלות חשש חד-צדדי לשימור כוח השוק הקיים שבידי ספק דומיננטי</w:t>
      </w:r>
      <w:r w:rsidR="001A0D6A" w:rsidRPr="00871C2C">
        <w:rPr>
          <w:rFonts w:hint="cs"/>
          <w:rtl/>
        </w:rPr>
        <w:t xml:space="preserve"> </w:t>
      </w:r>
      <w:r w:rsidR="00753478" w:rsidRPr="00871C2C">
        <w:rPr>
          <w:rFonts w:hint="cs"/>
          <w:rtl/>
        </w:rPr>
        <w:t>תוך דחיקת מתחרים קטנים יותר</w:t>
      </w:r>
      <w:r w:rsidRPr="00871C2C" w:rsidDel="00C00A05">
        <w:rPr>
          <w:rFonts w:hint="cs"/>
          <w:rtl/>
        </w:rPr>
        <w:t xml:space="preserve">. נניח כי קיים מוצר דומיננטי המשווק על ידי מספר רשתות מתחרות והושק מוצר חדש המתחרה בו. בהיעדר הסדר </w:t>
      </w:r>
      <w:r w:rsidRPr="00871C2C" w:rsidDel="00C00A05">
        <w:t>RPM</w:t>
      </w:r>
      <w:r w:rsidRPr="00871C2C" w:rsidDel="00C00A05">
        <w:rPr>
          <w:rFonts w:hint="cs"/>
          <w:rtl/>
        </w:rPr>
        <w:t xml:space="preserve">, המוצר החדש </w:t>
      </w:r>
      <w:r w:rsidR="00D67F33" w:rsidRPr="00871C2C">
        <w:rPr>
          <w:rFonts w:hint="cs"/>
          <w:rtl/>
        </w:rPr>
        <w:t>עשוי להימכר במחיר</w:t>
      </w:r>
      <w:r w:rsidRPr="00871C2C" w:rsidDel="00C00A05">
        <w:rPr>
          <w:rFonts w:hint="cs"/>
          <w:rtl/>
        </w:rPr>
        <w:t xml:space="preserve"> הנמוך מהמחיר שנגבה בגין המוצר הדומיננטי, כך שחלק מהביקוש למוצר הדומיננטי יוסט למוצר החדש. אך בהתקיים הסדר </w:t>
      </w:r>
      <w:r w:rsidRPr="00871C2C" w:rsidDel="00C00A05">
        <w:t>RPM</w:t>
      </w:r>
      <w:r w:rsidRPr="00871C2C" w:rsidDel="00C00A05">
        <w:rPr>
          <w:rFonts w:hint="cs"/>
          <w:rtl/>
        </w:rPr>
        <w:t xml:space="preserve"> לגבי המוצר הדומיננטי, הקמעונאים נהנים משולי רווח גבוהים יותר על המוצר הדומיננטי מאשר על המוצר החדש. בנסיבות אלה </w:t>
      </w:r>
      <w:r w:rsidR="00D67F33" w:rsidRPr="00871C2C">
        <w:rPr>
          <w:rFonts w:hint="cs"/>
          <w:rtl/>
        </w:rPr>
        <w:t>עשוי לה</w:t>
      </w:r>
      <w:r w:rsidR="00753478" w:rsidRPr="00871C2C">
        <w:rPr>
          <w:rFonts w:hint="cs"/>
          <w:rtl/>
        </w:rPr>
        <w:t xml:space="preserve">צטמצם </w:t>
      </w:r>
      <w:r w:rsidRPr="00871C2C" w:rsidDel="00C00A05">
        <w:rPr>
          <w:rFonts w:hint="cs"/>
          <w:rtl/>
        </w:rPr>
        <w:t>תמרי</w:t>
      </w:r>
      <w:r w:rsidR="00CE17AF" w:rsidRPr="00871C2C">
        <w:rPr>
          <w:rFonts w:hint="cs"/>
          <w:rtl/>
        </w:rPr>
        <w:t>צם</w:t>
      </w:r>
      <w:r w:rsidRPr="00871C2C" w:rsidDel="00C00A05">
        <w:rPr>
          <w:rFonts w:hint="cs"/>
          <w:rtl/>
        </w:rPr>
        <w:t xml:space="preserve"> של</w:t>
      </w:r>
      <w:r w:rsidR="001A0D6A" w:rsidRPr="00871C2C">
        <w:rPr>
          <w:rFonts w:hint="cs"/>
          <w:rtl/>
        </w:rPr>
        <w:t xml:space="preserve"> </w:t>
      </w:r>
      <w:r w:rsidRPr="00871C2C" w:rsidDel="00C00A05">
        <w:rPr>
          <w:rFonts w:hint="cs"/>
          <w:rtl/>
        </w:rPr>
        <w:t>ה</w:t>
      </w:r>
      <w:r w:rsidR="00753478" w:rsidRPr="00871C2C">
        <w:rPr>
          <w:rFonts w:hint="cs"/>
          <w:rtl/>
        </w:rPr>
        <w:t>קמעונאי</w:t>
      </w:r>
      <w:r w:rsidRPr="00871C2C" w:rsidDel="00C00A05">
        <w:rPr>
          <w:rFonts w:hint="cs"/>
          <w:rtl/>
        </w:rPr>
        <w:t xml:space="preserve">ם לשווק את המוצר החדש. </w:t>
      </w:r>
      <w:r w:rsidRPr="00871C2C" w:rsidDel="00C00A05">
        <w:rPr>
          <w:rFonts w:eastAsia="Times New Roman" w:hint="cs"/>
          <w:rtl/>
          <w:lang w:eastAsia="he-IL"/>
        </w:rPr>
        <w:t xml:space="preserve">באופן זה, </w:t>
      </w:r>
      <w:r w:rsidRPr="00871C2C" w:rsidDel="00C00A05">
        <w:rPr>
          <w:rFonts w:eastAsia="Times New Roman" w:hint="cs"/>
          <w:rtl/>
          <w:lang w:eastAsia="he-IL"/>
        </w:rPr>
        <w:lastRenderedPageBreak/>
        <w:t>הסדר ה-</w:t>
      </w:r>
      <w:r w:rsidRPr="00871C2C" w:rsidDel="00C00A05">
        <w:rPr>
          <w:rFonts w:eastAsia="Times New Roman"/>
          <w:lang w:eastAsia="he-IL"/>
        </w:rPr>
        <w:t>RPM</w:t>
      </w:r>
      <w:r w:rsidRPr="00871C2C" w:rsidDel="00C00A05">
        <w:rPr>
          <w:rFonts w:eastAsia="Times New Roman" w:hint="cs"/>
          <w:rtl/>
          <w:lang w:eastAsia="he-IL"/>
        </w:rPr>
        <w:t xml:space="preserve"> עלול לסייע </w:t>
      </w:r>
      <w:r w:rsidRPr="00871C2C" w:rsidDel="00C00A05">
        <w:rPr>
          <w:rFonts w:eastAsia="Times New Roman"/>
          <w:rtl/>
          <w:lang w:eastAsia="he-IL"/>
        </w:rPr>
        <w:t>לספק דומיננטי לחסום את התחרות על המקטע הקמעונאי מצד ספקים אחרים.</w:t>
      </w:r>
      <w:r w:rsidR="00952802" w:rsidRPr="00871C2C">
        <w:rPr>
          <w:rStyle w:val="FootnoteReference"/>
          <w:rFonts w:eastAsia="Times New Roman"/>
          <w:rtl/>
          <w:lang w:eastAsia="he-IL"/>
        </w:rPr>
        <w:footnoteReference w:id="27"/>
      </w:r>
      <w:r w:rsidRPr="00871C2C" w:rsidDel="00C00A05">
        <w:rPr>
          <w:rFonts w:hint="cs"/>
          <w:rtl/>
        </w:rPr>
        <w:t xml:space="preserve"> </w:t>
      </w:r>
    </w:p>
    <w:p w14:paraId="1AB0BB9D" w14:textId="7B23F07A" w:rsidR="008371F7" w:rsidRPr="00871C2C" w:rsidRDefault="001C6EFA" w:rsidP="001C6EFA">
      <w:pPr>
        <w:tabs>
          <w:tab w:val="left" w:pos="374"/>
        </w:tabs>
        <w:spacing w:before="120" w:after="120" w:line="360" w:lineRule="exact"/>
        <w:jc w:val="both"/>
        <w:rPr>
          <w:rtl/>
        </w:rPr>
      </w:pPr>
      <w:r w:rsidRPr="00871C2C">
        <w:rPr>
          <w:rFonts w:hint="cs"/>
          <w:rtl/>
        </w:rPr>
        <w:t xml:space="preserve">בנוסף לחשש לפגיעה בכושר התחרותי של ספקים המבקשים להתחרות בספק דומיננטי, הסדרי </w:t>
      </w:r>
      <w:r w:rsidRPr="00871C2C">
        <w:t>RPM</w:t>
      </w:r>
      <w:r w:rsidRPr="00871C2C">
        <w:rPr>
          <w:rFonts w:hint="cs"/>
          <w:rtl/>
        </w:rPr>
        <w:t xml:space="preserve"> עשויים אף לעורר חשש לפגיעה בכושרם התחרותי של קמעונאים קטנים ויעילים ואף להערמת חסמי כניסה בפני חדירה של קמעונאים כאמור</w:t>
      </w:r>
      <w:r w:rsidR="001A0D6A" w:rsidRPr="00871C2C">
        <w:rPr>
          <w:rFonts w:hint="cs"/>
          <w:rtl/>
        </w:rPr>
        <w:t>.</w:t>
      </w:r>
      <w:r w:rsidRPr="00871C2C">
        <w:rPr>
          <w:rFonts w:hint="cs"/>
          <w:rtl/>
        </w:rPr>
        <w:t xml:space="preserve"> </w:t>
      </w:r>
      <w:r w:rsidR="008371F7" w:rsidRPr="00871C2C">
        <w:rPr>
          <w:rFonts w:hint="cs"/>
          <w:rtl/>
        </w:rPr>
        <w:t xml:space="preserve">זאת, מאחר שהסדר </w:t>
      </w:r>
      <w:r w:rsidR="008371F7" w:rsidRPr="00871C2C">
        <w:t>RPM</w:t>
      </w:r>
      <w:r w:rsidR="008371F7" w:rsidRPr="00871C2C">
        <w:rPr>
          <w:rFonts w:hint="cs"/>
          <w:rtl/>
        </w:rPr>
        <w:t xml:space="preserve">, המקבע מחיר מינימום לצרכן, מגביל את חופש הפעולה של הקמעונאים ואינו מאפשר </w:t>
      </w:r>
      <w:r w:rsidR="005D3CAA" w:rsidRPr="00871C2C">
        <w:rPr>
          <w:rFonts w:hint="cs"/>
          <w:rtl/>
        </w:rPr>
        <w:t>ל</w:t>
      </w:r>
      <w:r w:rsidR="00B27C1B" w:rsidRPr="00871C2C">
        <w:rPr>
          <w:rFonts w:hint="cs"/>
          <w:rtl/>
        </w:rPr>
        <w:t xml:space="preserve">קמעונאי </w:t>
      </w:r>
      <w:r w:rsidR="008371F7" w:rsidRPr="00871C2C">
        <w:rPr>
          <w:rFonts w:hint="cs"/>
          <w:rtl/>
        </w:rPr>
        <w:t>יעיל לגלגל את החיסכון המושג כתוצאה מיעילותו לצרכן הסופי באמצעות מחיר זול יותר.</w:t>
      </w:r>
      <w:r w:rsidRPr="00871C2C">
        <w:rPr>
          <w:rFonts w:hint="cs"/>
          <w:rtl/>
        </w:rPr>
        <w:t xml:space="preserve"> חשש זה מתעורר כאשר הסדרי </w:t>
      </w:r>
      <w:r w:rsidRPr="00871C2C">
        <w:t>RPM</w:t>
      </w:r>
      <w:r w:rsidRPr="00871C2C">
        <w:rPr>
          <w:rFonts w:hint="cs"/>
          <w:rtl/>
        </w:rPr>
        <w:t xml:space="preserve"> מכסים שיעור גבוה הן של מקטע הספקים והן של מקטע הקמעונאים.</w:t>
      </w:r>
      <w:r w:rsidR="0016689B" w:rsidRPr="00871C2C">
        <w:rPr>
          <w:rStyle w:val="FootnoteReference"/>
          <w:rtl/>
        </w:rPr>
        <w:footnoteReference w:id="28"/>
      </w:r>
      <w:r w:rsidR="005D3CAA" w:rsidRPr="00871C2C">
        <w:rPr>
          <w:rFonts w:hint="cs"/>
          <w:rtl/>
        </w:rPr>
        <w:t xml:space="preserve"> </w:t>
      </w:r>
    </w:p>
    <w:p w14:paraId="1A415F41" w14:textId="71023A22" w:rsidR="000968EC" w:rsidRPr="00871C2C" w:rsidRDefault="00C26DF4" w:rsidP="00C26DF4">
      <w:pPr>
        <w:pStyle w:val="Heading2"/>
        <w:rPr>
          <w:rFonts w:eastAsia="Times New Roman"/>
          <w:rtl/>
          <w:lang w:eastAsia="he-IL"/>
        </w:rPr>
      </w:pPr>
      <w:r>
        <w:rPr>
          <w:rFonts w:eastAsia="Times New Roman" w:hint="cs"/>
          <w:rtl/>
          <w:lang w:eastAsia="he-IL"/>
        </w:rPr>
        <w:t xml:space="preserve">ג.3 </w:t>
      </w:r>
      <w:r w:rsidR="000968EC" w:rsidRPr="00871C2C">
        <w:rPr>
          <w:rFonts w:eastAsia="Times New Roman" w:hint="cs"/>
          <w:rtl/>
          <w:lang w:eastAsia="he-IL"/>
        </w:rPr>
        <w:t>הצדקות פרו-תחרותיות</w:t>
      </w:r>
    </w:p>
    <w:p w14:paraId="01B7CC3B" w14:textId="74601E84" w:rsidR="0031009F" w:rsidRPr="00871C2C" w:rsidRDefault="00633091" w:rsidP="00957D45">
      <w:pPr>
        <w:tabs>
          <w:tab w:val="left" w:pos="374"/>
        </w:tabs>
        <w:spacing w:before="120" w:after="120" w:line="360" w:lineRule="exact"/>
        <w:jc w:val="both"/>
        <w:rPr>
          <w:rFonts w:eastAsia="Times New Roman"/>
          <w:rtl/>
          <w:lang w:eastAsia="he-IL"/>
        </w:rPr>
      </w:pPr>
      <w:r w:rsidRPr="00871C2C">
        <w:rPr>
          <w:rFonts w:eastAsia="Times New Roman" w:hint="cs"/>
          <w:rtl/>
          <w:lang w:eastAsia="he-IL"/>
        </w:rPr>
        <w:t>בצד</w:t>
      </w:r>
      <w:r w:rsidR="00590FEC" w:rsidRPr="00871C2C">
        <w:rPr>
          <w:rFonts w:eastAsia="Times New Roman" w:hint="cs"/>
          <w:rtl/>
          <w:lang w:eastAsia="he-IL"/>
        </w:rPr>
        <w:t xml:space="preserve"> החששות שתוארו לעיל, </w:t>
      </w:r>
      <w:r w:rsidR="00CD57DA" w:rsidRPr="00871C2C">
        <w:rPr>
          <w:rFonts w:eastAsia="Times New Roman" w:hint="cs"/>
          <w:rtl/>
          <w:lang w:eastAsia="he-IL"/>
        </w:rPr>
        <w:t>לע</w:t>
      </w:r>
      <w:r w:rsidRPr="00871C2C">
        <w:rPr>
          <w:rFonts w:eastAsia="Times New Roman" w:hint="cs"/>
          <w:rtl/>
          <w:lang w:eastAsia="he-IL"/>
        </w:rPr>
        <w:t>י</w:t>
      </w:r>
      <w:r w:rsidR="00CD57DA" w:rsidRPr="00871C2C">
        <w:rPr>
          <w:rFonts w:eastAsia="Times New Roman" w:hint="cs"/>
          <w:rtl/>
          <w:lang w:eastAsia="he-IL"/>
        </w:rPr>
        <w:t>תים</w:t>
      </w:r>
      <w:r w:rsidR="00580388" w:rsidRPr="00871C2C">
        <w:rPr>
          <w:rFonts w:eastAsia="Times New Roman" w:hint="cs"/>
          <w:rtl/>
          <w:lang w:eastAsia="he-IL"/>
        </w:rPr>
        <w:t xml:space="preserve"> </w:t>
      </w:r>
      <w:r w:rsidR="00CD57DA" w:rsidRPr="00871C2C">
        <w:rPr>
          <w:rFonts w:eastAsia="Times New Roman" w:hint="cs"/>
          <w:rtl/>
          <w:lang w:eastAsia="he-IL"/>
        </w:rPr>
        <w:t xml:space="preserve">יש בהסדר </w:t>
      </w:r>
      <w:r w:rsidR="00CD57DA" w:rsidRPr="00871C2C">
        <w:rPr>
          <w:rFonts w:eastAsia="Times New Roman"/>
          <w:lang w:eastAsia="he-IL"/>
        </w:rPr>
        <w:t>RPM</w:t>
      </w:r>
      <w:r w:rsidR="00CD57DA" w:rsidRPr="00871C2C">
        <w:rPr>
          <w:rFonts w:eastAsia="Times New Roman" w:hint="cs"/>
          <w:rtl/>
          <w:lang w:eastAsia="he-IL"/>
        </w:rPr>
        <w:t xml:space="preserve"> כדי להביא לשיפור בשירותים הנלווים הניתנים לצרכן על ידי משווק המוצר.</w:t>
      </w:r>
      <w:r w:rsidR="00524B50" w:rsidRPr="00871C2C" w:rsidDel="00524B50">
        <w:rPr>
          <w:rStyle w:val="FootnoteReference"/>
          <w:rFonts w:eastAsia="Times New Roman"/>
          <w:rtl/>
          <w:lang w:eastAsia="he-IL"/>
        </w:rPr>
        <w:t xml:space="preserve"> </w:t>
      </w:r>
      <w:r w:rsidR="00CD57DA" w:rsidRPr="00871C2C">
        <w:rPr>
          <w:rFonts w:eastAsia="Times New Roman" w:hint="cs"/>
          <w:rtl/>
          <w:lang w:eastAsia="he-IL"/>
        </w:rPr>
        <w:t>כך כאשר הסדר ה-</w:t>
      </w:r>
      <w:r w:rsidR="000968EC" w:rsidRPr="00871C2C">
        <w:rPr>
          <w:rFonts w:eastAsia="Times New Roman"/>
          <w:lang w:eastAsia="he-IL"/>
        </w:rPr>
        <w:t>RPM</w:t>
      </w:r>
      <w:r w:rsidR="000968EC" w:rsidRPr="00871C2C">
        <w:rPr>
          <w:rFonts w:eastAsia="Times New Roman" w:hint="cs"/>
          <w:rtl/>
          <w:lang w:eastAsia="he-IL"/>
        </w:rPr>
        <w:t xml:space="preserve"> </w:t>
      </w:r>
      <w:r w:rsidR="00CD57DA" w:rsidRPr="00871C2C">
        <w:rPr>
          <w:rFonts w:eastAsia="Times New Roman" w:hint="cs"/>
          <w:rtl/>
          <w:lang w:eastAsia="he-IL"/>
        </w:rPr>
        <w:t>מ</w:t>
      </w:r>
      <w:r w:rsidR="000968EC" w:rsidRPr="00871C2C">
        <w:rPr>
          <w:rFonts w:eastAsia="Times New Roman" w:hint="cs"/>
          <w:rtl/>
          <w:lang w:eastAsia="he-IL"/>
        </w:rPr>
        <w:t xml:space="preserve">סייע בפתרון </w:t>
      </w:r>
      <w:r w:rsidR="000968EC" w:rsidRPr="00871C2C">
        <w:rPr>
          <w:rFonts w:eastAsia="Times New Roman"/>
          <w:rtl/>
          <w:lang w:eastAsia="he-IL"/>
        </w:rPr>
        <w:t>"בעיית הסוכן" הנגרמת כתוצאה מפער האינטרסים שבין ספק לבין הקמעונאים</w:t>
      </w:r>
      <w:r w:rsidR="000968EC" w:rsidRPr="00871C2C">
        <w:rPr>
          <w:rFonts w:eastAsia="Times New Roman" w:hint="cs"/>
          <w:rtl/>
          <w:lang w:eastAsia="he-IL"/>
        </w:rPr>
        <w:t xml:space="preserve"> או המפיצים</w:t>
      </w:r>
      <w:r w:rsidR="000968EC" w:rsidRPr="00871C2C">
        <w:rPr>
          <w:rFonts w:eastAsia="Times New Roman"/>
          <w:rtl/>
          <w:lang w:eastAsia="he-IL"/>
        </w:rPr>
        <w:t xml:space="preserve"> המוכרים את מוצריו לצרכן.</w:t>
      </w:r>
      <w:r w:rsidR="000968EC" w:rsidRPr="00871C2C">
        <w:rPr>
          <w:rFonts w:eastAsia="Times New Roman" w:hint="cs"/>
          <w:rtl/>
          <w:lang w:eastAsia="he-IL"/>
        </w:rPr>
        <w:t xml:space="preserve"> בעיית הסוכן מתעוררת כאשר</w:t>
      </w:r>
      <w:r w:rsidR="000968EC" w:rsidRPr="00871C2C">
        <w:rPr>
          <w:rFonts w:eastAsia="Times New Roman"/>
          <w:rtl/>
          <w:lang w:eastAsia="he-IL"/>
        </w:rPr>
        <w:t xml:space="preserve"> </w:t>
      </w:r>
      <w:r w:rsidR="000968EC" w:rsidRPr="00871C2C">
        <w:rPr>
          <w:rFonts w:eastAsia="Times New Roman" w:hint="cs"/>
          <w:rtl/>
          <w:lang w:eastAsia="he-IL"/>
        </w:rPr>
        <w:t xml:space="preserve">החלטותיו של קמעונאי או מפיץ משפיעות על רווחי הספק מבלי שהקמעונאי או המפיץ מפנים השפעות אלה. כך, למשל, החלטות הקמעונאי </w:t>
      </w:r>
      <w:r w:rsidR="000968EC" w:rsidRPr="00871C2C">
        <w:rPr>
          <w:rFonts w:eastAsia="Times New Roman"/>
          <w:rtl/>
          <w:lang w:eastAsia="he-IL"/>
        </w:rPr>
        <w:t>ביחס להשקעה</w:t>
      </w:r>
      <w:r w:rsidR="004B152E" w:rsidRPr="00871C2C">
        <w:rPr>
          <w:rFonts w:eastAsia="Times New Roman" w:hint="cs"/>
          <w:rtl/>
          <w:lang w:eastAsia="he-IL"/>
        </w:rPr>
        <w:t xml:space="preserve"> שלו</w:t>
      </w:r>
      <w:r w:rsidR="000968EC" w:rsidRPr="00871C2C">
        <w:rPr>
          <w:rFonts w:eastAsia="Times New Roman"/>
          <w:rtl/>
          <w:lang w:eastAsia="he-IL"/>
        </w:rPr>
        <w:t xml:space="preserve"> בקידום מכירות ואופן מתן שירותים נלווים ללקוח הסופי</w:t>
      </w:r>
      <w:r w:rsidR="000968EC" w:rsidRPr="00871C2C">
        <w:rPr>
          <w:rFonts w:eastAsia="Times New Roman" w:hint="cs"/>
          <w:rtl/>
          <w:lang w:eastAsia="he-IL"/>
        </w:rPr>
        <w:t xml:space="preserve">, עשויות להשפיע על הביקוש לטובין המופצים, </w:t>
      </w:r>
      <w:r w:rsidR="00073124" w:rsidRPr="00871C2C">
        <w:rPr>
          <w:rFonts w:eastAsia="Times New Roman" w:hint="cs"/>
          <w:rtl/>
          <w:lang w:eastAsia="he-IL"/>
        </w:rPr>
        <w:t>בעוד ש</w:t>
      </w:r>
      <w:r w:rsidR="00491F7C" w:rsidRPr="00871C2C">
        <w:rPr>
          <w:rFonts w:eastAsia="Times New Roman" w:hint="cs"/>
          <w:rtl/>
          <w:lang w:eastAsia="he-IL"/>
        </w:rPr>
        <w:t>הרווחים הנובעים מכך מתחלקים בין הקמעונאי לבין הספק</w:t>
      </w:r>
      <w:r w:rsidR="0031009F" w:rsidRPr="00871C2C">
        <w:rPr>
          <w:rFonts w:eastAsia="Times New Roman" w:hint="cs"/>
          <w:rtl/>
          <w:lang w:eastAsia="he-IL"/>
        </w:rPr>
        <w:t>.</w:t>
      </w:r>
      <w:r w:rsidR="00911AE6" w:rsidRPr="00871C2C">
        <w:rPr>
          <w:rFonts w:eastAsia="Times New Roman" w:hint="cs"/>
          <w:rtl/>
          <w:lang w:eastAsia="he-IL"/>
        </w:rPr>
        <w:t xml:space="preserve"> </w:t>
      </w:r>
    </w:p>
    <w:p w14:paraId="3357B2D4" w14:textId="3C8C29F3" w:rsidR="0031009F" w:rsidRPr="00871C2C" w:rsidRDefault="0031009F" w:rsidP="00AA70F8">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לעיתים, בעיית הסוכן </w:t>
      </w:r>
      <w:r w:rsidR="00491F7C" w:rsidRPr="00871C2C">
        <w:rPr>
          <w:rFonts w:eastAsia="Times New Roman" w:hint="cs"/>
          <w:rtl/>
          <w:lang w:eastAsia="he-IL"/>
        </w:rPr>
        <w:t xml:space="preserve">תביא </w:t>
      </w:r>
      <w:r w:rsidRPr="00871C2C">
        <w:rPr>
          <w:rFonts w:eastAsia="Times New Roman" w:hint="cs"/>
          <w:rtl/>
          <w:lang w:eastAsia="he-IL"/>
        </w:rPr>
        <w:t>לכך שהקמעונאי לא ישקיע במתן שירותים נלווים לצרכן במידה הרצויה, באופן הפוגע בתחרות הבין-מותגית וברווחת ציבור הצרכנים. בעיה ז</w:t>
      </w:r>
      <w:r w:rsidR="00950197" w:rsidRPr="00871C2C">
        <w:rPr>
          <w:rFonts w:eastAsia="Times New Roman" w:hint="cs"/>
          <w:rtl/>
          <w:lang w:eastAsia="he-IL"/>
        </w:rPr>
        <w:t>את</w:t>
      </w:r>
      <w:r w:rsidRPr="00871C2C">
        <w:rPr>
          <w:rFonts w:eastAsia="Times New Roman" w:hint="cs"/>
          <w:rtl/>
          <w:lang w:eastAsia="he-IL"/>
        </w:rPr>
        <w:t xml:space="preserve"> </w:t>
      </w:r>
      <w:r w:rsidR="00D14BE5" w:rsidRPr="00871C2C">
        <w:rPr>
          <w:rFonts w:eastAsia="Times New Roman" w:hint="cs"/>
          <w:rtl/>
          <w:lang w:eastAsia="he-IL"/>
        </w:rPr>
        <w:t>מתחדדת</w:t>
      </w:r>
      <w:r w:rsidRPr="00871C2C">
        <w:rPr>
          <w:rFonts w:eastAsia="Times New Roman" w:hint="cs"/>
          <w:rtl/>
          <w:lang w:eastAsia="he-IL"/>
        </w:rPr>
        <w:t xml:space="preserve"> במקרה שבו קיימת </w:t>
      </w:r>
      <w:r w:rsidR="00E70554" w:rsidRPr="00871C2C">
        <w:rPr>
          <w:rFonts w:eastAsia="Times New Roman" w:hint="cs"/>
          <w:rtl/>
          <w:lang w:eastAsia="he-IL"/>
        </w:rPr>
        <w:t>"</w:t>
      </w:r>
      <w:r w:rsidRPr="00871C2C">
        <w:rPr>
          <w:rFonts w:eastAsia="Times New Roman" w:hint="cs"/>
          <w:rtl/>
          <w:lang w:eastAsia="he-IL"/>
        </w:rPr>
        <w:t>בעיית טרמפיסט</w:t>
      </w:r>
      <w:r w:rsidR="00E70554" w:rsidRPr="00871C2C">
        <w:rPr>
          <w:rFonts w:eastAsia="Times New Roman" w:hint="cs"/>
          <w:rtl/>
          <w:lang w:eastAsia="he-IL"/>
        </w:rPr>
        <w:t>". "בעיית טרמפיסט" בהקשר דנן מתקיימת כאשר קמעונאי יכול</w:t>
      </w:r>
      <w:r w:rsidRPr="00871C2C">
        <w:rPr>
          <w:rFonts w:eastAsia="Times New Roman" w:hint="cs"/>
          <w:rtl/>
          <w:lang w:eastAsia="he-IL"/>
        </w:rPr>
        <w:t xml:space="preserve"> ליהנות </w:t>
      </w:r>
      <w:r w:rsidR="00E70554" w:rsidRPr="00871C2C">
        <w:rPr>
          <w:rFonts w:eastAsia="Times New Roman" w:hint="cs"/>
          <w:rtl/>
          <w:lang w:eastAsia="he-IL"/>
        </w:rPr>
        <w:t xml:space="preserve">הנאת חינם </w:t>
      </w:r>
      <w:r w:rsidRPr="00871C2C">
        <w:rPr>
          <w:rFonts w:eastAsia="Times New Roman" w:hint="cs"/>
          <w:rtl/>
          <w:lang w:eastAsia="he-IL"/>
        </w:rPr>
        <w:t xml:space="preserve">מהשקעות </w:t>
      </w:r>
      <w:r w:rsidR="00E70554" w:rsidRPr="00871C2C">
        <w:rPr>
          <w:rFonts w:eastAsia="Times New Roman" w:hint="cs"/>
          <w:rtl/>
          <w:lang w:eastAsia="he-IL"/>
        </w:rPr>
        <w:t xml:space="preserve">הקמעונאי שמתחרה בו </w:t>
      </w:r>
      <w:r w:rsidRPr="00871C2C">
        <w:rPr>
          <w:rFonts w:eastAsia="Times New Roman" w:hint="cs"/>
          <w:rtl/>
          <w:lang w:eastAsia="he-IL"/>
        </w:rPr>
        <w:t>במתן השירותים הנלווים.</w:t>
      </w:r>
      <w:r w:rsidR="00A92A3C" w:rsidRPr="00871C2C">
        <w:rPr>
          <w:rStyle w:val="FootnoteReference"/>
          <w:rFonts w:eastAsia="Times New Roman"/>
          <w:rtl/>
          <w:lang w:eastAsia="he-IL"/>
        </w:rPr>
        <w:footnoteReference w:id="29"/>
      </w:r>
      <w:r w:rsidRPr="00871C2C">
        <w:rPr>
          <w:rFonts w:eastAsia="Times New Roman" w:hint="cs"/>
          <w:rtl/>
          <w:lang w:eastAsia="he-IL"/>
        </w:rPr>
        <w:t xml:space="preserve"> </w:t>
      </w:r>
    </w:p>
    <w:p w14:paraId="58D8272E" w14:textId="26D2441D" w:rsidR="006265E4" w:rsidRPr="00871C2C" w:rsidRDefault="00A81BD8" w:rsidP="00A836DA">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לשם המחשה, נניח שספק מעוניין לשווק </w:t>
      </w:r>
      <w:r w:rsidR="005F1D4B" w:rsidRPr="00871C2C">
        <w:rPr>
          <w:rFonts w:eastAsia="Times New Roman" w:hint="cs"/>
          <w:rtl/>
          <w:lang w:eastAsia="he-IL"/>
        </w:rPr>
        <w:t xml:space="preserve">מכונות כביסה </w:t>
      </w:r>
      <w:r w:rsidR="00E42330" w:rsidRPr="00871C2C">
        <w:rPr>
          <w:rFonts w:eastAsia="Times New Roman" w:hint="cs"/>
          <w:rtl/>
          <w:lang w:eastAsia="he-IL"/>
        </w:rPr>
        <w:t xml:space="preserve">באמצעות </w:t>
      </w:r>
      <w:r w:rsidR="005F1D4B" w:rsidRPr="00871C2C">
        <w:rPr>
          <w:rFonts w:eastAsia="Times New Roman" w:hint="cs"/>
          <w:rtl/>
          <w:lang w:eastAsia="he-IL"/>
        </w:rPr>
        <w:t xml:space="preserve">חנויות למוצרי חשמל. שיווק מכונות כביסה מצריך </w:t>
      </w:r>
      <w:r w:rsidR="00E42330" w:rsidRPr="00871C2C">
        <w:rPr>
          <w:rFonts w:eastAsia="Times New Roman" w:hint="cs"/>
          <w:rtl/>
          <w:lang w:eastAsia="he-IL"/>
        </w:rPr>
        <w:t>השקעה</w:t>
      </w:r>
      <w:r w:rsidR="005F1D4B" w:rsidRPr="00871C2C">
        <w:rPr>
          <w:rFonts w:eastAsia="Times New Roman" w:hint="cs"/>
          <w:rtl/>
          <w:lang w:eastAsia="he-IL"/>
        </w:rPr>
        <w:t xml:space="preserve"> באולם תצוגה, שבו יוצבו מוכרנים מקצועיים, אשר יכולים</w:t>
      </w:r>
      <w:r w:rsidR="00FA6B4E" w:rsidRPr="00871C2C">
        <w:rPr>
          <w:rFonts w:eastAsia="Times New Roman" w:hint="cs"/>
          <w:rtl/>
          <w:lang w:eastAsia="he-IL"/>
        </w:rPr>
        <w:t xml:space="preserve"> להסביר על המוצר ו</w:t>
      </w:r>
      <w:r w:rsidR="005F1D4B" w:rsidRPr="00871C2C">
        <w:rPr>
          <w:rFonts w:eastAsia="Times New Roman" w:hint="cs"/>
          <w:rtl/>
          <w:lang w:eastAsia="he-IL"/>
        </w:rPr>
        <w:t>להדגים את השימוש ב</w:t>
      </w:r>
      <w:r w:rsidR="00FA6B4E" w:rsidRPr="00871C2C">
        <w:rPr>
          <w:rFonts w:eastAsia="Times New Roman" w:hint="cs"/>
          <w:rtl/>
          <w:lang w:eastAsia="he-IL"/>
        </w:rPr>
        <w:t>ו</w:t>
      </w:r>
      <w:r w:rsidR="005F1D4B" w:rsidRPr="00871C2C">
        <w:rPr>
          <w:rFonts w:eastAsia="Times New Roman" w:hint="cs"/>
          <w:rtl/>
          <w:lang w:eastAsia="he-IL"/>
        </w:rPr>
        <w:t xml:space="preserve"> כדי </w:t>
      </w:r>
      <w:r w:rsidR="00FA6B4E" w:rsidRPr="00871C2C">
        <w:rPr>
          <w:rFonts w:eastAsia="Times New Roman" w:hint="cs"/>
          <w:rtl/>
          <w:lang w:eastAsia="he-IL"/>
        </w:rPr>
        <w:t xml:space="preserve">להמחיש לצרכנים </w:t>
      </w:r>
      <w:r w:rsidR="005F1D4B" w:rsidRPr="00871C2C">
        <w:rPr>
          <w:rFonts w:eastAsia="Times New Roman" w:hint="cs"/>
          <w:rtl/>
          <w:lang w:eastAsia="he-IL"/>
        </w:rPr>
        <w:t>את היתרונות</w:t>
      </w:r>
      <w:r w:rsidR="00FA6B4E" w:rsidRPr="00871C2C">
        <w:rPr>
          <w:rFonts w:eastAsia="Times New Roman" w:hint="cs"/>
          <w:rtl/>
          <w:lang w:eastAsia="he-IL"/>
        </w:rPr>
        <w:t xml:space="preserve"> הייחודיים</w:t>
      </w:r>
      <w:r w:rsidR="005F1D4B" w:rsidRPr="00871C2C">
        <w:rPr>
          <w:rFonts w:eastAsia="Times New Roman" w:hint="cs"/>
          <w:rtl/>
          <w:lang w:eastAsia="he-IL"/>
        </w:rPr>
        <w:t xml:space="preserve"> ש</w:t>
      </w:r>
      <w:r w:rsidR="00E42330" w:rsidRPr="00871C2C">
        <w:rPr>
          <w:rFonts w:eastAsia="Times New Roman" w:hint="cs"/>
          <w:rtl/>
          <w:lang w:eastAsia="he-IL"/>
        </w:rPr>
        <w:t>ל ה</w:t>
      </w:r>
      <w:r w:rsidR="005F1D4B" w:rsidRPr="00871C2C">
        <w:rPr>
          <w:rFonts w:eastAsia="Times New Roman" w:hint="cs"/>
          <w:rtl/>
          <w:lang w:eastAsia="he-IL"/>
        </w:rPr>
        <w:t>מכונה</w:t>
      </w:r>
      <w:r w:rsidR="00CD407F" w:rsidRPr="00871C2C">
        <w:rPr>
          <w:rFonts w:eastAsia="Times New Roman" w:hint="cs"/>
          <w:rtl/>
          <w:lang w:eastAsia="he-IL"/>
        </w:rPr>
        <w:t xml:space="preserve"> ו</w:t>
      </w:r>
      <w:r w:rsidR="006265E4" w:rsidRPr="00871C2C">
        <w:rPr>
          <w:rFonts w:eastAsia="Times New Roman" w:hint="cs"/>
          <w:rtl/>
          <w:lang w:eastAsia="he-IL"/>
        </w:rPr>
        <w:t>את אופן השימוש ב</w:t>
      </w:r>
      <w:r w:rsidR="00E42330" w:rsidRPr="00871C2C">
        <w:rPr>
          <w:rFonts w:eastAsia="Times New Roman" w:hint="cs"/>
          <w:rtl/>
          <w:lang w:eastAsia="he-IL"/>
        </w:rPr>
        <w:t>ה</w:t>
      </w:r>
      <w:r w:rsidR="004B152E" w:rsidRPr="00871C2C">
        <w:rPr>
          <w:rFonts w:eastAsia="Times New Roman" w:hint="cs"/>
          <w:rtl/>
          <w:lang w:eastAsia="he-IL"/>
        </w:rPr>
        <w:t>. שיווק מכונות הכביסה אף יצריך</w:t>
      </w:r>
      <w:r w:rsidR="00FA6B4E" w:rsidRPr="00871C2C">
        <w:rPr>
          <w:rFonts w:eastAsia="Times New Roman" w:hint="cs"/>
          <w:rtl/>
          <w:lang w:eastAsia="he-IL"/>
        </w:rPr>
        <w:t xml:space="preserve"> לעיתים </w:t>
      </w:r>
      <w:r w:rsidR="00CD407F" w:rsidRPr="00871C2C">
        <w:rPr>
          <w:rFonts w:eastAsia="Times New Roman" w:hint="cs"/>
          <w:rtl/>
          <w:lang w:eastAsia="he-IL"/>
        </w:rPr>
        <w:t xml:space="preserve">מתן </w:t>
      </w:r>
      <w:r w:rsidR="00FA6B4E" w:rsidRPr="00871C2C">
        <w:rPr>
          <w:rFonts w:eastAsia="Times New Roman" w:hint="cs"/>
          <w:rtl/>
          <w:lang w:eastAsia="he-IL"/>
        </w:rPr>
        <w:t xml:space="preserve">שירות </w:t>
      </w:r>
      <w:r w:rsidR="001E2983" w:rsidRPr="00871C2C">
        <w:rPr>
          <w:rFonts w:eastAsia="Times New Roman" w:hint="cs"/>
          <w:rtl/>
          <w:lang w:eastAsia="he-IL"/>
        </w:rPr>
        <w:t>מהקמעונאי</w:t>
      </w:r>
      <w:r w:rsidR="00FA6B4E" w:rsidRPr="00871C2C">
        <w:rPr>
          <w:rFonts w:eastAsia="Times New Roman" w:hint="cs"/>
          <w:rtl/>
          <w:lang w:eastAsia="he-IL"/>
        </w:rPr>
        <w:t xml:space="preserve"> </w:t>
      </w:r>
      <w:r w:rsidR="00CD407F" w:rsidRPr="00871C2C">
        <w:rPr>
          <w:rFonts w:eastAsia="Times New Roman" w:hint="cs"/>
          <w:rtl/>
          <w:lang w:eastAsia="he-IL"/>
        </w:rPr>
        <w:t xml:space="preserve">לצרכנים </w:t>
      </w:r>
      <w:r w:rsidR="00FA6B4E" w:rsidRPr="00871C2C">
        <w:rPr>
          <w:rFonts w:eastAsia="Times New Roman" w:hint="cs"/>
          <w:rtl/>
          <w:lang w:eastAsia="he-IL"/>
        </w:rPr>
        <w:t>גם לאחר המכירה</w:t>
      </w:r>
      <w:r w:rsidRPr="00871C2C">
        <w:rPr>
          <w:rFonts w:eastAsia="Times New Roman" w:hint="cs"/>
          <w:rtl/>
          <w:lang w:eastAsia="he-IL"/>
        </w:rPr>
        <w:t xml:space="preserve">. </w:t>
      </w:r>
      <w:r w:rsidR="00FA6B4E" w:rsidRPr="00871C2C">
        <w:rPr>
          <w:rFonts w:eastAsia="Times New Roman" w:hint="cs"/>
          <w:rtl/>
          <w:lang w:eastAsia="he-IL"/>
        </w:rPr>
        <w:t xml:space="preserve">השקעה </w:t>
      </w:r>
      <w:r w:rsidR="006265E4" w:rsidRPr="00871C2C">
        <w:rPr>
          <w:rFonts w:eastAsia="Times New Roman" w:hint="cs"/>
          <w:rtl/>
          <w:lang w:eastAsia="he-IL"/>
        </w:rPr>
        <w:t xml:space="preserve">כאמור מאפשרת לצרכן לבחור את המכונה מתאימה ביותר עבורו ולהפיק מהמכונה את </w:t>
      </w:r>
      <w:r w:rsidR="00A836DA" w:rsidRPr="00871C2C">
        <w:rPr>
          <w:rFonts w:eastAsia="Times New Roman" w:hint="cs"/>
          <w:rtl/>
          <w:lang w:eastAsia="he-IL"/>
        </w:rPr>
        <w:t xml:space="preserve">מירב </w:t>
      </w:r>
      <w:r w:rsidR="006265E4" w:rsidRPr="00871C2C">
        <w:rPr>
          <w:rFonts w:eastAsia="Times New Roman" w:hint="cs"/>
          <w:rtl/>
          <w:lang w:eastAsia="he-IL"/>
        </w:rPr>
        <w:t xml:space="preserve">התועלת, כך שהיא </w:t>
      </w:r>
      <w:r w:rsidR="00A836DA" w:rsidRPr="00871C2C">
        <w:rPr>
          <w:rFonts w:eastAsia="Times New Roman" w:hint="cs"/>
          <w:rtl/>
          <w:lang w:eastAsia="he-IL"/>
        </w:rPr>
        <w:t xml:space="preserve">עשויה להגדיל </w:t>
      </w:r>
      <w:r w:rsidR="006265E4" w:rsidRPr="00871C2C">
        <w:rPr>
          <w:rFonts w:eastAsia="Times New Roman" w:hint="cs"/>
          <w:rtl/>
          <w:lang w:eastAsia="he-IL"/>
        </w:rPr>
        <w:t xml:space="preserve">את הביקוש למכונות. </w:t>
      </w:r>
    </w:p>
    <w:p w14:paraId="3325AB38" w14:textId="77777777" w:rsidR="00E2375E" w:rsidRPr="00871C2C" w:rsidRDefault="0031009F" w:rsidP="004B152E">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אולם השקעה </w:t>
      </w:r>
      <w:r w:rsidR="00950197" w:rsidRPr="00871C2C">
        <w:rPr>
          <w:rFonts w:eastAsia="Times New Roman" w:hint="cs"/>
          <w:rtl/>
          <w:lang w:eastAsia="he-IL"/>
        </w:rPr>
        <w:t xml:space="preserve">זאת </w:t>
      </w:r>
      <w:r w:rsidRPr="00871C2C">
        <w:rPr>
          <w:rFonts w:eastAsia="Times New Roman" w:hint="cs"/>
          <w:rtl/>
          <w:lang w:eastAsia="he-IL"/>
        </w:rPr>
        <w:t xml:space="preserve">אינה בהכרח כדאית לחנות </w:t>
      </w:r>
      <w:r w:rsidR="006265E4" w:rsidRPr="00871C2C">
        <w:rPr>
          <w:rFonts w:eastAsia="Times New Roman" w:hint="cs"/>
          <w:rtl/>
          <w:lang w:eastAsia="he-IL"/>
        </w:rPr>
        <w:t>מוצרי החשמל, מאחר ששולי הרווח שלה</w:t>
      </w:r>
      <w:r w:rsidRPr="00871C2C">
        <w:rPr>
          <w:rFonts w:eastAsia="Times New Roman" w:hint="cs"/>
          <w:rtl/>
          <w:lang w:eastAsia="he-IL"/>
        </w:rPr>
        <w:t xml:space="preserve"> על מכירת כל </w:t>
      </w:r>
      <w:r w:rsidR="006265E4" w:rsidRPr="00871C2C">
        <w:rPr>
          <w:rFonts w:eastAsia="Times New Roman" w:hint="cs"/>
          <w:rtl/>
          <w:lang w:eastAsia="he-IL"/>
        </w:rPr>
        <w:t xml:space="preserve">מכונה עשויים להיות </w:t>
      </w:r>
      <w:r w:rsidRPr="00871C2C">
        <w:rPr>
          <w:rFonts w:eastAsia="Times New Roman" w:hint="cs"/>
          <w:rtl/>
          <w:lang w:eastAsia="he-IL"/>
        </w:rPr>
        <w:t xml:space="preserve">נמוכים. </w:t>
      </w:r>
      <w:r w:rsidR="004B152E" w:rsidRPr="00871C2C">
        <w:rPr>
          <w:rFonts w:eastAsia="Times New Roman" w:hint="cs"/>
          <w:rtl/>
          <w:lang w:eastAsia="he-IL"/>
        </w:rPr>
        <w:t>עלול</w:t>
      </w:r>
      <w:r w:rsidR="00E51838" w:rsidRPr="00871C2C">
        <w:rPr>
          <w:rFonts w:eastAsia="Times New Roman" w:hint="cs"/>
          <w:rtl/>
          <w:lang w:eastAsia="he-IL"/>
        </w:rPr>
        <w:t xml:space="preserve">, אם כן, להיווצר מצב, שבו חנות מוצרי החשמל לא תרוויח כלל או לא תרוויח מספיק מההשקעות שהיא תידרש להשקיע בשטחי תצוגה </w:t>
      </w:r>
      <w:r w:rsidR="00E51838" w:rsidRPr="00871C2C">
        <w:rPr>
          <w:rFonts w:eastAsia="Times New Roman" w:hint="cs"/>
          <w:rtl/>
          <w:lang w:eastAsia="he-IL"/>
        </w:rPr>
        <w:lastRenderedPageBreak/>
        <w:t xml:space="preserve">נוספים, אנשי הדרכה נוספים ואנשי שירות נוספים. לעומת זאת עבור הספק השקעה זאת עשויה להגדיל </w:t>
      </w:r>
      <w:r w:rsidR="00A836DA" w:rsidRPr="00871C2C">
        <w:rPr>
          <w:rFonts w:eastAsia="Times New Roman" w:hint="cs"/>
          <w:rtl/>
          <w:lang w:eastAsia="he-IL"/>
        </w:rPr>
        <w:t>את ה</w:t>
      </w:r>
      <w:r w:rsidR="00E51838" w:rsidRPr="00871C2C">
        <w:rPr>
          <w:rFonts w:eastAsia="Times New Roman" w:hint="cs"/>
          <w:rtl/>
          <w:lang w:eastAsia="he-IL"/>
        </w:rPr>
        <w:t xml:space="preserve">מכירות ולכן היא כדאית מאד. זאת היא בעיית הסוכן. </w:t>
      </w:r>
    </w:p>
    <w:p w14:paraId="6E804F38" w14:textId="44B896F3" w:rsidR="0031009F" w:rsidRPr="00871C2C" w:rsidRDefault="0031009F" w:rsidP="00574D36">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יתר על </w:t>
      </w:r>
      <w:r w:rsidR="00E42330" w:rsidRPr="00871C2C">
        <w:rPr>
          <w:rFonts w:eastAsia="Times New Roman" w:hint="cs"/>
          <w:rtl/>
          <w:lang w:eastAsia="he-IL"/>
        </w:rPr>
        <w:t>כן</w:t>
      </w:r>
      <w:r w:rsidRPr="00871C2C">
        <w:rPr>
          <w:rFonts w:eastAsia="Times New Roman" w:hint="cs"/>
          <w:rtl/>
          <w:lang w:eastAsia="he-IL"/>
        </w:rPr>
        <w:t xml:space="preserve">, בעל החנות </w:t>
      </w:r>
      <w:r w:rsidR="004F2055" w:rsidRPr="00871C2C">
        <w:rPr>
          <w:rFonts w:eastAsia="Times New Roman" w:hint="cs"/>
          <w:rtl/>
          <w:lang w:eastAsia="he-IL"/>
        </w:rPr>
        <w:t>עשוי ל</w:t>
      </w:r>
      <w:r w:rsidR="00E42330" w:rsidRPr="00871C2C">
        <w:rPr>
          <w:rFonts w:eastAsia="Times New Roman" w:hint="cs"/>
          <w:rtl/>
          <w:lang w:eastAsia="he-IL"/>
        </w:rPr>
        <w:t xml:space="preserve">חשוש </w:t>
      </w:r>
      <w:r w:rsidR="00491F7C" w:rsidRPr="00871C2C">
        <w:rPr>
          <w:rFonts w:eastAsia="Times New Roman" w:hint="cs"/>
          <w:rtl/>
          <w:lang w:eastAsia="he-IL"/>
        </w:rPr>
        <w:t xml:space="preserve">שמא </w:t>
      </w:r>
      <w:r w:rsidRPr="00871C2C">
        <w:rPr>
          <w:rFonts w:eastAsia="Times New Roman" w:hint="cs"/>
          <w:rtl/>
          <w:lang w:eastAsia="he-IL"/>
        </w:rPr>
        <w:t xml:space="preserve">ייפתח </w:t>
      </w:r>
      <w:r w:rsidR="00491F7C" w:rsidRPr="00871C2C">
        <w:rPr>
          <w:rFonts w:eastAsia="Times New Roman" w:hint="cs"/>
          <w:rtl/>
          <w:lang w:eastAsia="he-IL"/>
        </w:rPr>
        <w:t xml:space="preserve">לידו </w:t>
      </w:r>
      <w:r w:rsidRPr="00871C2C">
        <w:rPr>
          <w:rFonts w:eastAsia="Times New Roman" w:hint="cs"/>
          <w:rtl/>
          <w:lang w:eastAsia="he-IL"/>
        </w:rPr>
        <w:t xml:space="preserve">מחסן קטן, שבו אין אולם תצוגה או מוכרנים אלא רק עובד בודד </w:t>
      </w:r>
      <w:r w:rsidR="006265E4" w:rsidRPr="00871C2C">
        <w:rPr>
          <w:rFonts w:eastAsia="Times New Roman" w:hint="cs"/>
          <w:rtl/>
          <w:lang w:eastAsia="he-IL"/>
        </w:rPr>
        <w:t xml:space="preserve">ומכונות כביסה </w:t>
      </w:r>
      <w:r w:rsidR="00E42330" w:rsidRPr="00871C2C">
        <w:rPr>
          <w:rFonts w:eastAsia="Times New Roman" w:hint="cs"/>
          <w:rtl/>
          <w:lang w:eastAsia="he-IL"/>
        </w:rPr>
        <w:t>ארוזות</w:t>
      </w:r>
      <w:r w:rsidRPr="00871C2C">
        <w:rPr>
          <w:rFonts w:eastAsia="Times New Roman" w:hint="cs"/>
          <w:rtl/>
          <w:lang w:eastAsia="he-IL"/>
        </w:rPr>
        <w:t xml:space="preserve">. בזכות החיסכון בעלויות, המחסן יוכל להציע את </w:t>
      </w:r>
      <w:r w:rsidR="006265E4" w:rsidRPr="00871C2C">
        <w:rPr>
          <w:rFonts w:eastAsia="Times New Roman" w:hint="cs"/>
          <w:rtl/>
          <w:lang w:eastAsia="he-IL"/>
        </w:rPr>
        <w:t xml:space="preserve">מכונות הכביסה </w:t>
      </w:r>
      <w:r w:rsidRPr="00871C2C">
        <w:rPr>
          <w:rFonts w:eastAsia="Times New Roman" w:hint="cs"/>
          <w:rtl/>
          <w:lang w:eastAsia="he-IL"/>
        </w:rPr>
        <w:t xml:space="preserve">במחיר זול מהחנות שליד. בעל החנות יחשוש שהלקוחות </w:t>
      </w:r>
      <w:r w:rsidR="004F2055" w:rsidRPr="00871C2C">
        <w:rPr>
          <w:rFonts w:eastAsia="Times New Roman" w:hint="cs"/>
          <w:rtl/>
          <w:lang w:eastAsia="he-IL"/>
        </w:rPr>
        <w:t>ינצלו את אולם התצוגה שלו</w:t>
      </w:r>
      <w:r w:rsidRPr="00871C2C">
        <w:rPr>
          <w:rFonts w:eastAsia="Times New Roman" w:hint="cs"/>
          <w:rtl/>
          <w:lang w:eastAsia="he-IL"/>
        </w:rPr>
        <w:t xml:space="preserve"> על מנת להתרשם מהסוגים השונים של </w:t>
      </w:r>
      <w:r w:rsidR="006265E4" w:rsidRPr="00871C2C">
        <w:rPr>
          <w:rFonts w:eastAsia="Times New Roman" w:hint="cs"/>
          <w:rtl/>
          <w:lang w:eastAsia="he-IL"/>
        </w:rPr>
        <w:t xml:space="preserve">מכונות </w:t>
      </w:r>
      <w:r w:rsidR="00E42330" w:rsidRPr="00871C2C">
        <w:rPr>
          <w:rFonts w:eastAsia="Times New Roman" w:hint="cs"/>
          <w:rtl/>
          <w:lang w:eastAsia="he-IL"/>
        </w:rPr>
        <w:t>ה</w:t>
      </w:r>
      <w:r w:rsidR="006265E4" w:rsidRPr="00871C2C">
        <w:rPr>
          <w:rFonts w:eastAsia="Times New Roman" w:hint="cs"/>
          <w:rtl/>
          <w:lang w:eastAsia="he-IL"/>
        </w:rPr>
        <w:t xml:space="preserve">כביסה </w:t>
      </w:r>
      <w:r w:rsidRPr="00871C2C">
        <w:rPr>
          <w:rFonts w:eastAsia="Times New Roman" w:hint="cs"/>
          <w:rtl/>
          <w:lang w:eastAsia="he-IL"/>
        </w:rPr>
        <w:t>ולקבל עצות והדגמות מהמוכרנים</w:t>
      </w:r>
      <w:r w:rsidR="00E42330" w:rsidRPr="00871C2C">
        <w:rPr>
          <w:rFonts w:eastAsia="Times New Roman" w:hint="cs"/>
          <w:rtl/>
          <w:lang w:eastAsia="he-IL"/>
        </w:rPr>
        <w:t>,</w:t>
      </w:r>
      <w:r w:rsidRPr="00871C2C">
        <w:rPr>
          <w:rFonts w:eastAsia="Times New Roman" w:hint="cs"/>
          <w:rtl/>
          <w:lang w:eastAsia="he-IL"/>
        </w:rPr>
        <w:t xml:space="preserve"> ואז יעברו למחסן שלידו רק על מנת ל</w:t>
      </w:r>
      <w:r w:rsidR="00491F7C" w:rsidRPr="00871C2C">
        <w:rPr>
          <w:rFonts w:eastAsia="Times New Roman" w:hint="cs"/>
          <w:rtl/>
          <w:lang w:eastAsia="he-IL"/>
        </w:rPr>
        <w:t>בצע את הרכישה</w:t>
      </w:r>
      <w:r w:rsidRPr="00871C2C">
        <w:rPr>
          <w:rFonts w:eastAsia="Times New Roman" w:hint="cs"/>
          <w:rtl/>
          <w:lang w:eastAsia="he-IL"/>
        </w:rPr>
        <w:t>.</w:t>
      </w:r>
      <w:r w:rsidR="00FA6B4E" w:rsidRPr="00871C2C">
        <w:rPr>
          <w:rFonts w:eastAsia="Times New Roman" w:hint="cs"/>
          <w:rtl/>
          <w:lang w:eastAsia="he-IL"/>
        </w:rPr>
        <w:t xml:space="preserve"> מטבע הדברים, חשש דומה מתקיים ביחס לחנויות מקוונות, </w:t>
      </w:r>
      <w:r w:rsidR="00574D36" w:rsidRPr="00871C2C">
        <w:rPr>
          <w:rFonts w:eastAsia="Times New Roman" w:hint="cs"/>
          <w:rtl/>
          <w:lang w:eastAsia="he-IL"/>
        </w:rPr>
        <w:t xml:space="preserve">שנדרשות להשקיע פחות במתן שירותים נלווים מסוימים, כגון הצבת שטחי תצוגה פיזיים. </w:t>
      </w:r>
      <w:r w:rsidRPr="00871C2C">
        <w:rPr>
          <w:rFonts w:eastAsia="Times New Roman" w:hint="cs"/>
          <w:rtl/>
          <w:lang w:eastAsia="he-IL"/>
        </w:rPr>
        <w:t>במצב דברים זה, התמריץ של בעל החנות להשקיע במוכרנים נפגע, וכך גם יכולת הלקוחות ללמוד על המוצר</w:t>
      </w:r>
      <w:r w:rsidR="006265E4" w:rsidRPr="00871C2C">
        <w:rPr>
          <w:rFonts w:eastAsia="Times New Roman" w:hint="cs"/>
          <w:rtl/>
          <w:lang w:eastAsia="he-IL"/>
        </w:rPr>
        <w:t>ים השונים</w:t>
      </w:r>
      <w:r w:rsidRPr="00871C2C">
        <w:rPr>
          <w:rFonts w:eastAsia="Times New Roman" w:hint="cs"/>
          <w:rtl/>
          <w:lang w:eastAsia="he-IL"/>
        </w:rPr>
        <w:t xml:space="preserve"> וליהנות מההדגמות של המוכרנים. </w:t>
      </w:r>
      <w:r w:rsidR="005A1F95" w:rsidRPr="00871C2C">
        <w:rPr>
          <w:rFonts w:eastAsia="Times New Roman" w:hint="cs"/>
          <w:rtl/>
          <w:lang w:eastAsia="he-IL"/>
        </w:rPr>
        <w:t>זאת היא בעיית הטרמפיסט</w:t>
      </w:r>
      <w:r w:rsidR="006C46C1" w:rsidRPr="00871C2C">
        <w:rPr>
          <w:rFonts w:eastAsia="Times New Roman" w:hint="cs"/>
          <w:rtl/>
          <w:lang w:eastAsia="he-IL"/>
        </w:rPr>
        <w:t>.</w:t>
      </w:r>
    </w:p>
    <w:p w14:paraId="5AE33F1C" w14:textId="31ED3978" w:rsidR="0031009F" w:rsidRPr="00871C2C" w:rsidRDefault="00A836DA" w:rsidP="00BC30DB">
      <w:pPr>
        <w:tabs>
          <w:tab w:val="left" w:pos="374"/>
        </w:tabs>
        <w:spacing w:before="120" w:after="120" w:line="360" w:lineRule="exact"/>
        <w:jc w:val="both"/>
        <w:rPr>
          <w:rFonts w:eastAsia="Times New Roman"/>
          <w:rtl/>
          <w:lang w:eastAsia="he-IL"/>
        </w:rPr>
      </w:pPr>
      <w:r w:rsidRPr="00871C2C">
        <w:rPr>
          <w:rFonts w:eastAsia="Times New Roman" w:hint="cs"/>
          <w:rtl/>
          <w:lang w:eastAsia="he-IL"/>
        </w:rPr>
        <w:t>בנסיבות אלה</w:t>
      </w:r>
      <w:r w:rsidR="0031009F" w:rsidRPr="00871C2C">
        <w:rPr>
          <w:rFonts w:eastAsia="Times New Roman" w:hint="cs"/>
          <w:rtl/>
          <w:lang w:eastAsia="he-IL"/>
        </w:rPr>
        <w:t xml:space="preserve">, </w:t>
      </w:r>
      <w:r w:rsidR="00587F9F" w:rsidRPr="00871C2C">
        <w:rPr>
          <w:rFonts w:eastAsia="Times New Roman" w:hint="cs"/>
          <w:rtl/>
          <w:lang w:eastAsia="he-IL"/>
        </w:rPr>
        <w:t>הספק עשוי ל</w:t>
      </w:r>
      <w:r w:rsidR="00F64ECF" w:rsidRPr="00871C2C">
        <w:rPr>
          <w:rFonts w:eastAsia="Times New Roman" w:hint="cs"/>
          <w:rtl/>
          <w:lang w:eastAsia="he-IL"/>
        </w:rPr>
        <w:t>רצות ל</w:t>
      </w:r>
      <w:r w:rsidR="00587F9F" w:rsidRPr="00871C2C">
        <w:rPr>
          <w:rFonts w:eastAsia="Times New Roman" w:hint="cs"/>
          <w:rtl/>
          <w:lang w:eastAsia="he-IL"/>
        </w:rPr>
        <w:t xml:space="preserve">התקשר עם </w:t>
      </w:r>
      <w:r w:rsidR="00491F7C" w:rsidRPr="00871C2C">
        <w:rPr>
          <w:rFonts w:eastAsia="Times New Roman" w:hint="cs"/>
          <w:rtl/>
          <w:lang w:eastAsia="he-IL"/>
        </w:rPr>
        <w:t xml:space="preserve">כלל </w:t>
      </w:r>
      <w:r w:rsidR="00587F9F" w:rsidRPr="00871C2C">
        <w:rPr>
          <w:rFonts w:eastAsia="Times New Roman" w:hint="cs"/>
          <w:rtl/>
          <w:lang w:eastAsia="he-IL"/>
        </w:rPr>
        <w:t xml:space="preserve">המשווקים בהסדרי </w:t>
      </w:r>
      <w:r w:rsidR="00587F9F" w:rsidRPr="00871C2C">
        <w:rPr>
          <w:rFonts w:eastAsia="Times New Roman"/>
          <w:lang w:eastAsia="he-IL"/>
        </w:rPr>
        <w:t>RPM</w:t>
      </w:r>
      <w:r w:rsidR="00EF1CB3" w:rsidRPr="00871C2C">
        <w:rPr>
          <w:rFonts w:eastAsia="Times New Roman" w:hint="cs"/>
          <w:rtl/>
          <w:lang w:eastAsia="he-IL"/>
        </w:rPr>
        <w:t xml:space="preserve"> במטרה </w:t>
      </w:r>
      <w:r w:rsidR="00290687" w:rsidRPr="00871C2C">
        <w:rPr>
          <w:rFonts w:eastAsia="Times New Roman" w:hint="cs"/>
          <w:rtl/>
          <w:lang w:eastAsia="he-IL"/>
        </w:rPr>
        <w:t>למנוע בעיות הסוכן והטרמפיסט</w:t>
      </w:r>
      <w:r w:rsidR="0031009F" w:rsidRPr="00871C2C">
        <w:rPr>
          <w:rFonts w:eastAsia="Times New Roman" w:hint="cs"/>
          <w:rtl/>
          <w:lang w:eastAsia="he-IL"/>
        </w:rPr>
        <w:t>.</w:t>
      </w:r>
      <w:r w:rsidR="003E468A" w:rsidRPr="00871C2C">
        <w:rPr>
          <w:rFonts w:eastAsia="Times New Roman" w:hint="cs"/>
          <w:rtl/>
          <w:lang w:eastAsia="he-IL"/>
        </w:rPr>
        <w:t xml:space="preserve"> </w:t>
      </w:r>
      <w:r w:rsidR="0031009F" w:rsidRPr="00871C2C">
        <w:rPr>
          <w:rFonts w:eastAsia="Times New Roman" w:hint="cs"/>
          <w:rtl/>
          <w:lang w:eastAsia="he-IL"/>
        </w:rPr>
        <w:t>במקרה כזה הסדרי ה-</w:t>
      </w:r>
      <w:r w:rsidR="0031009F" w:rsidRPr="00871C2C">
        <w:rPr>
          <w:rFonts w:eastAsia="Times New Roman"/>
          <w:lang w:eastAsia="he-IL"/>
        </w:rPr>
        <w:t>RPM</w:t>
      </w:r>
      <w:r w:rsidR="0031009F" w:rsidRPr="00871C2C">
        <w:rPr>
          <w:rFonts w:eastAsia="Times New Roman" w:hint="cs"/>
          <w:rtl/>
          <w:lang w:eastAsia="he-IL"/>
        </w:rPr>
        <w:t xml:space="preserve"> עשויים לה</w:t>
      </w:r>
      <w:r w:rsidR="00E42330" w:rsidRPr="00871C2C">
        <w:rPr>
          <w:rFonts w:eastAsia="Times New Roman" w:hint="cs"/>
          <w:rtl/>
          <w:lang w:eastAsia="he-IL"/>
        </w:rPr>
        <w:t>י</w:t>
      </w:r>
      <w:r w:rsidR="0031009F" w:rsidRPr="00871C2C">
        <w:rPr>
          <w:rFonts w:eastAsia="Times New Roman" w:hint="cs"/>
          <w:rtl/>
          <w:lang w:eastAsia="he-IL"/>
        </w:rPr>
        <w:t xml:space="preserve">טיב עם ציבור הצרכנים, בכך </w:t>
      </w:r>
      <w:r w:rsidR="00F64ECF" w:rsidRPr="00871C2C">
        <w:rPr>
          <w:rFonts w:eastAsia="Times New Roman" w:hint="cs"/>
          <w:rtl/>
          <w:lang w:eastAsia="he-IL"/>
        </w:rPr>
        <w:t xml:space="preserve">שהם </w:t>
      </w:r>
      <w:r w:rsidR="0031009F" w:rsidRPr="00871C2C">
        <w:rPr>
          <w:rFonts w:eastAsia="Times New Roman" w:hint="cs"/>
          <w:rtl/>
          <w:lang w:eastAsia="he-IL"/>
        </w:rPr>
        <w:t>מ</w:t>
      </w:r>
      <w:r w:rsidR="00FA6B4E" w:rsidRPr="00871C2C">
        <w:rPr>
          <w:rFonts w:eastAsia="Times New Roman" w:hint="cs"/>
          <w:rtl/>
          <w:lang w:eastAsia="he-IL"/>
        </w:rPr>
        <w:t>עודדים השקעה במא</w:t>
      </w:r>
      <w:r w:rsidR="001E2983" w:rsidRPr="00871C2C">
        <w:rPr>
          <w:rFonts w:eastAsia="Times New Roman" w:hint="cs"/>
          <w:rtl/>
          <w:lang w:eastAsia="he-IL"/>
        </w:rPr>
        <w:t>מצי שיווק ובמתן שירותים נלווים, אשר עשויים להגביר</w:t>
      </w:r>
      <w:r w:rsidR="0031009F" w:rsidRPr="00871C2C">
        <w:rPr>
          <w:rFonts w:eastAsia="Times New Roman" w:hint="cs"/>
          <w:rtl/>
          <w:lang w:eastAsia="he-IL"/>
        </w:rPr>
        <w:t xml:space="preserve"> את תועלת הצרכנים מהמוצר ו</w:t>
      </w:r>
      <w:r w:rsidR="00FA6B4E" w:rsidRPr="00871C2C">
        <w:rPr>
          <w:rFonts w:eastAsia="Times New Roman" w:hint="cs"/>
          <w:rtl/>
          <w:lang w:eastAsia="he-IL"/>
        </w:rPr>
        <w:t>להגביר</w:t>
      </w:r>
      <w:r w:rsidR="0031009F" w:rsidRPr="00871C2C">
        <w:rPr>
          <w:rFonts w:eastAsia="Times New Roman" w:hint="cs"/>
          <w:rtl/>
          <w:lang w:eastAsia="he-IL"/>
        </w:rPr>
        <w:t xml:space="preserve"> את התחרות הבין-מותגית.</w:t>
      </w:r>
    </w:p>
    <w:p w14:paraId="4319F0B4" w14:textId="3BE2D99A" w:rsidR="008B6BA2" w:rsidRPr="00871C2C" w:rsidRDefault="008B6BA2" w:rsidP="00D74FE3">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דוגמה נוספת לתועלת פרו-תחרותית שעשויה להיות בהסדר </w:t>
      </w:r>
      <w:r w:rsidRPr="00871C2C">
        <w:rPr>
          <w:rFonts w:eastAsia="Times New Roman"/>
          <w:lang w:eastAsia="he-IL"/>
        </w:rPr>
        <w:t>RPM</w:t>
      </w:r>
      <w:r w:rsidRPr="00871C2C">
        <w:rPr>
          <w:rFonts w:eastAsia="Times New Roman" w:hint="cs"/>
          <w:rtl/>
          <w:lang w:eastAsia="he-IL"/>
        </w:rPr>
        <w:t xml:space="preserve"> היא </w:t>
      </w:r>
      <w:r w:rsidR="0026776C" w:rsidRPr="00871C2C">
        <w:rPr>
          <w:rFonts w:eastAsia="Times New Roman" w:hint="cs"/>
          <w:rtl/>
          <w:lang w:eastAsia="he-IL"/>
        </w:rPr>
        <w:t xml:space="preserve">במקרה של </w:t>
      </w:r>
      <w:r w:rsidRPr="00871C2C">
        <w:rPr>
          <w:rFonts w:eastAsia="Times New Roman" w:hint="cs"/>
          <w:rtl/>
          <w:lang w:eastAsia="he-IL"/>
        </w:rPr>
        <w:t xml:space="preserve">חדירת מוצר חדש לשוק. נניח, למשל, שספק </w:t>
      </w:r>
      <w:r w:rsidR="003E468A" w:rsidRPr="00871C2C">
        <w:rPr>
          <w:rFonts w:eastAsia="Times New Roman" w:hint="cs"/>
          <w:rtl/>
          <w:lang w:eastAsia="he-IL"/>
        </w:rPr>
        <w:t xml:space="preserve">מסוים </w:t>
      </w:r>
      <w:r w:rsidRPr="00871C2C">
        <w:rPr>
          <w:rFonts w:eastAsia="Times New Roman" w:hint="cs"/>
          <w:rtl/>
          <w:lang w:eastAsia="he-IL"/>
        </w:rPr>
        <w:t xml:space="preserve">מעוניין </w:t>
      </w:r>
      <w:r w:rsidR="003E468A" w:rsidRPr="00871C2C">
        <w:rPr>
          <w:rFonts w:eastAsia="Times New Roman" w:hint="cs"/>
          <w:rtl/>
          <w:lang w:eastAsia="he-IL"/>
        </w:rPr>
        <w:t xml:space="preserve">להיכנס לשוק מכונות הכביסה </w:t>
      </w:r>
      <w:r w:rsidR="00AF2BF4" w:rsidRPr="00871C2C">
        <w:rPr>
          <w:rFonts w:eastAsia="Times New Roman" w:hint="cs"/>
          <w:rtl/>
          <w:lang w:eastAsia="he-IL"/>
        </w:rPr>
        <w:t>באמצעות</w:t>
      </w:r>
      <w:r w:rsidR="003E468A" w:rsidRPr="00871C2C">
        <w:rPr>
          <w:rFonts w:eastAsia="Times New Roman" w:hint="cs"/>
          <w:rtl/>
          <w:lang w:eastAsia="he-IL"/>
        </w:rPr>
        <w:t xml:space="preserve"> השקת מותג מכונות כביסה חדש.</w:t>
      </w:r>
      <w:r w:rsidRPr="00871C2C">
        <w:rPr>
          <w:rFonts w:eastAsia="Times New Roman" w:hint="cs"/>
          <w:rtl/>
          <w:lang w:eastAsia="he-IL"/>
        </w:rPr>
        <w:t xml:space="preserve"> מאחר שהמו</w:t>
      </w:r>
      <w:r w:rsidR="003E468A" w:rsidRPr="00871C2C">
        <w:rPr>
          <w:rFonts w:eastAsia="Times New Roman" w:hint="cs"/>
          <w:rtl/>
          <w:lang w:eastAsia="he-IL"/>
        </w:rPr>
        <w:t xml:space="preserve">תג </w:t>
      </w:r>
      <w:r w:rsidR="00D74FE3" w:rsidRPr="00871C2C">
        <w:rPr>
          <w:rFonts w:eastAsia="Times New Roman" w:hint="cs"/>
          <w:rtl/>
          <w:lang w:eastAsia="he-IL"/>
        </w:rPr>
        <w:t>אינו</w:t>
      </w:r>
      <w:r w:rsidR="003E468A" w:rsidRPr="00871C2C">
        <w:rPr>
          <w:rFonts w:eastAsia="Times New Roman" w:hint="cs"/>
          <w:rtl/>
          <w:lang w:eastAsia="he-IL"/>
        </w:rPr>
        <w:t xml:space="preserve"> </w:t>
      </w:r>
      <w:r w:rsidRPr="00871C2C">
        <w:rPr>
          <w:rFonts w:eastAsia="Times New Roman" w:hint="cs"/>
          <w:rtl/>
          <w:lang w:eastAsia="he-IL"/>
        </w:rPr>
        <w:t xml:space="preserve">מוכר לצרכנים, השקתו עשויה להצריך </w:t>
      </w:r>
      <w:r w:rsidR="003E468A" w:rsidRPr="00871C2C">
        <w:rPr>
          <w:rFonts w:eastAsia="Times New Roman" w:hint="cs"/>
          <w:rtl/>
          <w:lang w:eastAsia="he-IL"/>
        </w:rPr>
        <w:t xml:space="preserve">השקעות מיוחדות </w:t>
      </w:r>
      <w:r w:rsidR="00754B36" w:rsidRPr="00871C2C">
        <w:rPr>
          <w:rFonts w:eastAsia="Times New Roman" w:hint="cs"/>
          <w:rtl/>
          <w:lang w:eastAsia="he-IL"/>
        </w:rPr>
        <w:t xml:space="preserve">מצד </w:t>
      </w:r>
      <w:r w:rsidR="003E468A" w:rsidRPr="00871C2C">
        <w:rPr>
          <w:rFonts w:eastAsia="Times New Roman" w:hint="cs"/>
          <w:rtl/>
          <w:lang w:eastAsia="he-IL"/>
        </w:rPr>
        <w:t>חנויות מוצרי החשמל לצ</w:t>
      </w:r>
      <w:r w:rsidR="00D74FE3" w:rsidRPr="00871C2C">
        <w:rPr>
          <w:rFonts w:eastAsia="Times New Roman" w:hint="cs"/>
          <w:rtl/>
          <w:lang w:eastAsia="he-IL"/>
        </w:rPr>
        <w:t>ו</w:t>
      </w:r>
      <w:r w:rsidR="003E468A" w:rsidRPr="00871C2C">
        <w:rPr>
          <w:rFonts w:eastAsia="Times New Roman" w:hint="cs"/>
          <w:rtl/>
          <w:lang w:eastAsia="he-IL"/>
        </w:rPr>
        <w:t>רך קידום מכיר</w:t>
      </w:r>
      <w:r w:rsidR="00D74FE3" w:rsidRPr="00871C2C">
        <w:rPr>
          <w:rFonts w:eastAsia="Times New Roman" w:hint="cs"/>
          <w:rtl/>
          <w:lang w:eastAsia="he-IL"/>
        </w:rPr>
        <w:t>ו</w:t>
      </w:r>
      <w:r w:rsidR="003E468A" w:rsidRPr="00871C2C">
        <w:rPr>
          <w:rFonts w:eastAsia="Times New Roman" w:hint="cs"/>
          <w:rtl/>
          <w:lang w:eastAsia="he-IL"/>
        </w:rPr>
        <w:t xml:space="preserve">ת, מעבר להשקעה הכרוכה בשיווק מותגים מוכרים יותר (כגון </w:t>
      </w:r>
      <w:r w:rsidR="00754B36" w:rsidRPr="00871C2C">
        <w:rPr>
          <w:rFonts w:eastAsia="Times New Roman" w:hint="cs"/>
          <w:rtl/>
          <w:lang w:eastAsia="he-IL"/>
        </w:rPr>
        <w:t xml:space="preserve">הצגת </w:t>
      </w:r>
      <w:r w:rsidRPr="00871C2C">
        <w:rPr>
          <w:rFonts w:eastAsia="Times New Roman" w:hint="cs"/>
          <w:rtl/>
          <w:lang w:eastAsia="he-IL"/>
        </w:rPr>
        <w:t xml:space="preserve">מכונות </w:t>
      </w:r>
      <w:r w:rsidR="003E468A" w:rsidRPr="00871C2C">
        <w:rPr>
          <w:rFonts w:eastAsia="Times New Roman" w:hint="cs"/>
          <w:rtl/>
          <w:lang w:eastAsia="he-IL"/>
        </w:rPr>
        <w:t xml:space="preserve">הכביסה </w:t>
      </w:r>
      <w:r w:rsidRPr="00871C2C">
        <w:rPr>
          <w:rFonts w:eastAsia="Times New Roman" w:hint="cs"/>
          <w:rtl/>
          <w:lang w:eastAsia="he-IL"/>
        </w:rPr>
        <w:t xml:space="preserve">במקום בולט </w:t>
      </w:r>
      <w:r w:rsidR="00754B36" w:rsidRPr="00871C2C">
        <w:rPr>
          <w:rFonts w:eastAsia="Times New Roman" w:hint="cs"/>
          <w:rtl/>
          <w:lang w:eastAsia="he-IL"/>
        </w:rPr>
        <w:t>ב</w:t>
      </w:r>
      <w:r w:rsidRPr="00871C2C">
        <w:rPr>
          <w:rFonts w:eastAsia="Times New Roman" w:hint="cs"/>
          <w:rtl/>
          <w:lang w:eastAsia="he-IL"/>
        </w:rPr>
        <w:t>חנות</w:t>
      </w:r>
      <w:r w:rsidR="003E468A" w:rsidRPr="00871C2C">
        <w:rPr>
          <w:rFonts w:eastAsia="Times New Roman" w:hint="cs"/>
          <w:rtl/>
          <w:lang w:eastAsia="he-IL"/>
        </w:rPr>
        <w:t xml:space="preserve">, </w:t>
      </w:r>
      <w:r w:rsidR="00754B36" w:rsidRPr="00871C2C">
        <w:rPr>
          <w:rFonts w:eastAsia="Times New Roman" w:hint="cs"/>
          <w:rtl/>
          <w:lang w:eastAsia="he-IL"/>
        </w:rPr>
        <w:t>מתן הוראות למוכרנים להמליץ על המוצר החדש</w:t>
      </w:r>
      <w:r w:rsidR="003E468A" w:rsidRPr="00871C2C">
        <w:rPr>
          <w:rFonts w:eastAsia="Times New Roman" w:hint="cs"/>
          <w:rtl/>
          <w:lang w:eastAsia="he-IL"/>
        </w:rPr>
        <w:t xml:space="preserve"> וכדו')</w:t>
      </w:r>
      <w:r w:rsidRPr="00871C2C">
        <w:rPr>
          <w:rFonts w:eastAsia="Times New Roman" w:hint="cs"/>
          <w:rtl/>
          <w:lang w:eastAsia="he-IL"/>
        </w:rPr>
        <w:t>.</w:t>
      </w:r>
      <w:r w:rsidR="00754B36" w:rsidRPr="00871C2C">
        <w:rPr>
          <w:rFonts w:eastAsia="Times New Roman" w:hint="cs"/>
          <w:rtl/>
          <w:lang w:eastAsia="he-IL"/>
        </w:rPr>
        <w:t xml:space="preserve"> בהיעדר הסדר </w:t>
      </w:r>
      <w:r w:rsidR="00754B36" w:rsidRPr="00871C2C">
        <w:rPr>
          <w:rFonts w:eastAsia="Times New Roman"/>
          <w:lang w:eastAsia="he-IL"/>
        </w:rPr>
        <w:t>RPM</w:t>
      </w:r>
      <w:r w:rsidR="00754B36" w:rsidRPr="00871C2C">
        <w:rPr>
          <w:rFonts w:eastAsia="Times New Roman" w:hint="cs"/>
          <w:rtl/>
          <w:lang w:eastAsia="he-IL"/>
        </w:rPr>
        <w:t>, שיעורי הרווח של הקמעונאי על מכירת המכונה החדשה עשויים שלא להצדיק השקעה</w:t>
      </w:r>
      <w:r w:rsidR="003E468A" w:rsidRPr="00871C2C">
        <w:rPr>
          <w:rFonts w:eastAsia="Times New Roman" w:hint="cs"/>
          <w:rtl/>
          <w:lang w:eastAsia="he-IL"/>
        </w:rPr>
        <w:t xml:space="preserve"> מיוחדת כאמור</w:t>
      </w:r>
      <w:r w:rsidR="00754B36" w:rsidRPr="00871C2C">
        <w:rPr>
          <w:rFonts w:eastAsia="Times New Roman" w:hint="cs"/>
          <w:rtl/>
          <w:lang w:eastAsia="he-IL"/>
        </w:rPr>
        <w:t>. במקרה כזה, הסדר ה-</w:t>
      </w:r>
      <w:r w:rsidR="00754B36" w:rsidRPr="00871C2C">
        <w:rPr>
          <w:rFonts w:eastAsia="Times New Roman"/>
          <w:lang w:eastAsia="he-IL"/>
        </w:rPr>
        <w:t>RPM</w:t>
      </w:r>
      <w:r w:rsidR="00754B36" w:rsidRPr="00871C2C">
        <w:rPr>
          <w:rFonts w:eastAsia="Times New Roman" w:hint="cs"/>
          <w:rtl/>
          <w:lang w:eastAsia="he-IL"/>
        </w:rPr>
        <w:t xml:space="preserve"> עשוי לסייע לצמצם את פער </w:t>
      </w:r>
      <w:r w:rsidR="003E468A" w:rsidRPr="00871C2C">
        <w:rPr>
          <w:rFonts w:eastAsia="Times New Roman" w:hint="cs"/>
          <w:rtl/>
          <w:lang w:eastAsia="he-IL"/>
        </w:rPr>
        <w:t>האינטרסים ש</w:t>
      </w:r>
      <w:r w:rsidR="00754B36" w:rsidRPr="00871C2C">
        <w:rPr>
          <w:rFonts w:eastAsia="Times New Roman" w:hint="cs"/>
          <w:rtl/>
          <w:lang w:eastAsia="he-IL"/>
        </w:rPr>
        <w:t>בין הקמעונאי לבין ספק המוצר החדש</w:t>
      </w:r>
      <w:r w:rsidR="003E468A" w:rsidRPr="00871C2C">
        <w:rPr>
          <w:rFonts w:eastAsia="Times New Roman" w:hint="cs"/>
          <w:rtl/>
          <w:lang w:eastAsia="he-IL"/>
        </w:rPr>
        <w:t>, באופן המעודד השקעת הקמעונאי</w:t>
      </w:r>
      <w:r w:rsidR="00754B36" w:rsidRPr="00871C2C">
        <w:rPr>
          <w:rFonts w:eastAsia="Times New Roman" w:hint="cs"/>
          <w:rtl/>
          <w:lang w:eastAsia="he-IL"/>
        </w:rPr>
        <w:t xml:space="preserve"> בהחדרת ה</w:t>
      </w:r>
      <w:r w:rsidR="003E468A" w:rsidRPr="00871C2C">
        <w:rPr>
          <w:rFonts w:eastAsia="Times New Roman" w:hint="cs"/>
          <w:rtl/>
          <w:lang w:eastAsia="he-IL"/>
        </w:rPr>
        <w:t xml:space="preserve">מותג </w:t>
      </w:r>
      <w:r w:rsidR="00754B36" w:rsidRPr="00871C2C">
        <w:rPr>
          <w:rFonts w:eastAsia="Times New Roman" w:hint="cs"/>
          <w:rtl/>
          <w:lang w:eastAsia="he-IL"/>
        </w:rPr>
        <w:t xml:space="preserve">החדש </w:t>
      </w:r>
      <w:r w:rsidR="003E468A" w:rsidRPr="00871C2C">
        <w:rPr>
          <w:rFonts w:eastAsia="Times New Roman" w:hint="cs"/>
          <w:rtl/>
          <w:lang w:eastAsia="he-IL"/>
        </w:rPr>
        <w:t xml:space="preserve">לשוק </w:t>
      </w:r>
      <w:r w:rsidR="00754B36" w:rsidRPr="00871C2C">
        <w:rPr>
          <w:rFonts w:eastAsia="Times New Roman" w:hint="cs"/>
          <w:rtl/>
          <w:lang w:eastAsia="he-IL"/>
        </w:rPr>
        <w:t>ברמה הרצויה</w:t>
      </w:r>
      <w:r w:rsidR="003E468A" w:rsidRPr="00871C2C">
        <w:rPr>
          <w:rFonts w:eastAsia="Times New Roman" w:hint="cs"/>
          <w:rtl/>
          <w:lang w:eastAsia="he-IL"/>
        </w:rPr>
        <w:t>, ובכך להביא לשיפור התחרות הבין-מותגית</w:t>
      </w:r>
      <w:r w:rsidR="00754B36" w:rsidRPr="00871C2C">
        <w:rPr>
          <w:rFonts w:eastAsia="Times New Roman" w:hint="cs"/>
          <w:rtl/>
          <w:lang w:eastAsia="he-IL"/>
        </w:rPr>
        <w:t>.</w:t>
      </w:r>
    </w:p>
    <w:p w14:paraId="1DE75A5F" w14:textId="3003A293" w:rsidR="00441B22" w:rsidRPr="00871C2C" w:rsidRDefault="001E2983" w:rsidP="00CB6389">
      <w:pPr>
        <w:pStyle w:val="Heading2"/>
        <w:rPr>
          <w:rFonts w:eastAsia="Times New Roman"/>
          <w:lang w:eastAsia="he-IL"/>
        </w:rPr>
      </w:pPr>
      <w:r w:rsidRPr="00871C2C">
        <w:rPr>
          <w:rFonts w:eastAsia="Times New Roman" w:hint="cs"/>
          <w:rtl/>
          <w:lang w:eastAsia="he-IL"/>
        </w:rPr>
        <w:t xml:space="preserve"> </w:t>
      </w:r>
      <w:r w:rsidR="00C26DF4">
        <w:rPr>
          <w:rFonts w:eastAsia="Times New Roman" w:hint="cs"/>
          <w:rtl/>
          <w:lang w:eastAsia="he-IL"/>
        </w:rPr>
        <w:t>ג.</w:t>
      </w:r>
      <w:r w:rsidR="00CB6389">
        <w:rPr>
          <w:rFonts w:eastAsia="Times New Roman" w:hint="cs"/>
          <w:rtl/>
          <w:lang w:eastAsia="he-IL"/>
        </w:rPr>
        <w:t>4</w:t>
      </w:r>
      <w:r w:rsidR="00C26DF4">
        <w:rPr>
          <w:rFonts w:eastAsia="Times New Roman" w:hint="cs"/>
          <w:rtl/>
          <w:lang w:eastAsia="he-IL"/>
        </w:rPr>
        <w:t xml:space="preserve"> </w:t>
      </w:r>
      <w:r w:rsidRPr="00871C2C">
        <w:rPr>
          <w:rFonts w:eastAsia="Times New Roman" w:hint="cs"/>
          <w:rtl/>
          <w:lang w:eastAsia="he-IL"/>
        </w:rPr>
        <w:t xml:space="preserve">אופן בחינת הסדרי </w:t>
      </w:r>
      <w:r w:rsidRPr="00871C2C">
        <w:rPr>
          <w:rFonts w:eastAsia="Times New Roman"/>
          <w:lang w:eastAsia="he-IL"/>
        </w:rPr>
        <w:t>RPM</w:t>
      </w:r>
      <w:r w:rsidR="00AA70F8" w:rsidRPr="00871C2C">
        <w:rPr>
          <w:rFonts w:eastAsia="Times New Roman" w:hint="cs"/>
          <w:rtl/>
          <w:lang w:eastAsia="he-IL"/>
        </w:rPr>
        <w:t xml:space="preserve"> במקטע הקמעונאי</w:t>
      </w:r>
    </w:p>
    <w:p w14:paraId="1A43DF34" w14:textId="17F6FE6D" w:rsidR="00580388" w:rsidRPr="00871C2C" w:rsidRDefault="00580388" w:rsidP="00824086">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על מנת להכריע </w:t>
      </w:r>
      <w:r w:rsidR="000A532F" w:rsidRPr="00871C2C">
        <w:rPr>
          <w:rFonts w:eastAsia="Times New Roman" w:hint="cs"/>
          <w:rtl/>
          <w:lang w:eastAsia="he-IL"/>
        </w:rPr>
        <w:t xml:space="preserve">בדבר סיווגו </w:t>
      </w:r>
      <w:r w:rsidRPr="00871C2C">
        <w:rPr>
          <w:rFonts w:eastAsia="Times New Roman" w:hint="cs"/>
          <w:rtl/>
          <w:lang w:eastAsia="he-IL"/>
        </w:rPr>
        <w:t xml:space="preserve">של הסדר </w:t>
      </w:r>
      <w:r w:rsidRPr="00871C2C">
        <w:rPr>
          <w:rFonts w:eastAsia="Times New Roman"/>
          <w:lang w:eastAsia="he-IL"/>
        </w:rPr>
        <w:t>RPM</w:t>
      </w:r>
      <w:r w:rsidR="0025379C" w:rsidRPr="00871C2C">
        <w:rPr>
          <w:rFonts w:eastAsia="Times New Roman" w:hint="cs"/>
          <w:rtl/>
          <w:lang w:eastAsia="he-IL"/>
        </w:rPr>
        <w:t xml:space="preserve"> הנוגע ל</w:t>
      </w:r>
      <w:r w:rsidR="008B3C3F" w:rsidRPr="00871C2C">
        <w:rPr>
          <w:rFonts w:eastAsia="Times New Roman" w:hint="cs"/>
          <w:rtl/>
          <w:lang w:eastAsia="he-IL"/>
        </w:rPr>
        <w:t>קביעת המחיר</w:t>
      </w:r>
      <w:r w:rsidR="0025379C" w:rsidRPr="00871C2C">
        <w:rPr>
          <w:rFonts w:eastAsia="Times New Roman" w:hint="cs"/>
          <w:rtl/>
          <w:lang w:eastAsia="he-IL"/>
        </w:rPr>
        <w:t xml:space="preserve"> הקמעונאי</w:t>
      </w:r>
      <w:r w:rsidR="000A532F" w:rsidRPr="00871C2C">
        <w:rPr>
          <w:rFonts w:eastAsia="Times New Roman" w:hint="cs"/>
          <w:rtl/>
          <w:lang w:eastAsia="he-IL"/>
        </w:rPr>
        <w:t xml:space="preserve"> כהסדר כובל</w:t>
      </w:r>
      <w:r w:rsidRPr="00871C2C">
        <w:rPr>
          <w:rFonts w:eastAsia="Times New Roman" w:hint="cs"/>
          <w:rtl/>
          <w:lang w:eastAsia="he-IL"/>
        </w:rPr>
        <w:t>, יש לבחון אותו בשני היבטים</w:t>
      </w:r>
      <w:r w:rsidR="00CB3487" w:rsidRPr="00871C2C">
        <w:rPr>
          <w:rFonts w:eastAsia="Times New Roman" w:hint="cs"/>
          <w:rtl/>
          <w:lang w:eastAsia="he-IL"/>
        </w:rPr>
        <w:t xml:space="preserve"> במצטבר</w:t>
      </w:r>
      <w:r w:rsidRPr="00871C2C">
        <w:rPr>
          <w:rFonts w:eastAsia="Times New Roman" w:hint="cs"/>
          <w:rtl/>
          <w:lang w:eastAsia="he-IL"/>
        </w:rPr>
        <w:t>:</w:t>
      </w:r>
    </w:p>
    <w:p w14:paraId="2C95F105" w14:textId="152C0221" w:rsidR="00F53E22" w:rsidRPr="00871C2C" w:rsidRDefault="00F53E22" w:rsidP="00F53E22">
      <w:pPr>
        <w:spacing w:before="120" w:after="120" w:line="360" w:lineRule="exact"/>
        <w:jc w:val="both"/>
        <w:rPr>
          <w:rtl/>
          <w:lang w:eastAsia="he-IL"/>
        </w:rPr>
      </w:pPr>
      <w:r w:rsidRPr="00871C2C">
        <w:rPr>
          <w:rFonts w:hint="cs"/>
          <w:b/>
          <w:bCs/>
          <w:rtl/>
          <w:lang w:eastAsia="he-IL"/>
        </w:rPr>
        <w:t>היבט אחד</w:t>
      </w:r>
      <w:r w:rsidRPr="00871C2C">
        <w:rPr>
          <w:rFonts w:hint="cs"/>
          <w:rtl/>
          <w:lang w:eastAsia="he-IL"/>
        </w:rPr>
        <w:t xml:space="preserve"> נוגע לעלילות הפגיעה בתחרות כתוצאה מרמת תחרות נמוכה במקטע הספקים או במקטע הקמעונאים. לצורך הערכת היבט זה, יש לבחון את מאפייני השוק שבו נערך ההסדר, הן ביחס למקטע הספקים והן ביחס למקטע הקמעונאים.</w:t>
      </w:r>
    </w:p>
    <w:p w14:paraId="0F4C18B9" w14:textId="04D4E95B" w:rsidR="00F53E22" w:rsidRPr="00871C2C" w:rsidRDefault="00F53E22" w:rsidP="00871C2C">
      <w:pPr>
        <w:spacing w:before="120" w:after="120" w:line="360" w:lineRule="exact"/>
        <w:jc w:val="both"/>
        <w:rPr>
          <w:rtl/>
          <w:lang w:eastAsia="he-IL"/>
        </w:rPr>
      </w:pPr>
      <w:r w:rsidRPr="00871C2C">
        <w:rPr>
          <w:rFonts w:hint="cs"/>
          <w:rtl/>
          <w:lang w:eastAsia="he-IL"/>
        </w:rPr>
        <w:t>בשני המקטעים, יש לבחון את השפעתו של הסדר ה-</w:t>
      </w:r>
      <w:r w:rsidRPr="00871C2C">
        <w:rPr>
          <w:lang w:eastAsia="he-IL"/>
        </w:rPr>
        <w:t>RPM</w:t>
      </w:r>
      <w:r w:rsidRPr="00871C2C">
        <w:rPr>
          <w:rFonts w:hint="cs"/>
          <w:rtl/>
          <w:lang w:eastAsia="he-IL"/>
        </w:rPr>
        <w:t xml:space="preserve"> על ההסתברות לקיומו ושימורו של שיווי משקל מתואם, לרבות בהתחשב במספר השחקנים במקטע ומידת הריכוזיות בו, שיעור הכיסוי של הסדרי ה-</w:t>
      </w:r>
      <w:r w:rsidRPr="00871C2C">
        <w:rPr>
          <w:lang w:eastAsia="he-IL"/>
        </w:rPr>
        <w:t>RPM</w:t>
      </w:r>
      <w:r w:rsidRPr="00871C2C">
        <w:rPr>
          <w:rFonts w:hint="cs"/>
          <w:rtl/>
          <w:lang w:eastAsia="he-IL"/>
        </w:rPr>
        <w:t xml:space="preserve"> את כל אחד מהמקטעים וקיומם של חסמי כניסה לשוק או חסמי התרחבות בו. בנוסף לכך, יש לבחון את נתח השוק שבידי הספק שהוא צד להסדר וכן את כוח השוק שיש בידיו. ככלל,</w:t>
      </w:r>
      <w:r w:rsidRPr="00871C2C">
        <w:rPr>
          <w:rtl/>
        </w:rPr>
        <w:t xml:space="preserve"> </w:t>
      </w:r>
      <w:r w:rsidRPr="00871C2C">
        <w:rPr>
          <w:rFonts w:hint="cs"/>
          <w:rtl/>
          <w:lang w:eastAsia="he-IL"/>
        </w:rPr>
        <w:t xml:space="preserve">בשווקים שבהם יש תחרות בין-מותגית נמוכה, בין אם משום שיש מעט </w:t>
      </w:r>
      <w:r w:rsidRPr="00871C2C">
        <w:rPr>
          <w:rFonts w:hint="cs"/>
          <w:rtl/>
          <w:lang w:eastAsia="he-IL"/>
        </w:rPr>
        <w:lastRenderedPageBreak/>
        <w:t xml:space="preserve">ספקים ובין משום שהספקים הקיימים בשוק מקיימים שיווי משקל אל-תחרותי, </w:t>
      </w:r>
      <w:r w:rsidR="005510E8" w:rsidRPr="00871C2C">
        <w:rPr>
          <w:rFonts w:hint="cs"/>
          <w:rtl/>
          <w:lang w:eastAsia="he-IL"/>
        </w:rPr>
        <w:t xml:space="preserve">אזי ההסדר </w:t>
      </w:r>
      <w:r w:rsidRPr="00871C2C">
        <w:rPr>
          <w:rFonts w:hint="cs"/>
          <w:rtl/>
          <w:lang w:eastAsia="he-IL"/>
        </w:rPr>
        <w:t xml:space="preserve">עלול לפגוע בתחרות ומשכך הוא </w:t>
      </w:r>
      <w:r w:rsidR="004B37F5" w:rsidRPr="00871C2C">
        <w:rPr>
          <w:rFonts w:hint="cs"/>
          <w:rtl/>
          <w:lang w:eastAsia="he-IL"/>
        </w:rPr>
        <w:t>יהיה</w:t>
      </w:r>
      <w:r w:rsidRPr="00871C2C">
        <w:rPr>
          <w:rFonts w:hint="cs"/>
          <w:rtl/>
          <w:lang w:eastAsia="he-IL"/>
        </w:rPr>
        <w:t xml:space="preserve"> הסדר כובל. </w:t>
      </w:r>
    </w:p>
    <w:p w14:paraId="79A4BACE" w14:textId="18C1B08B" w:rsidR="002C2034" w:rsidRPr="00871C2C" w:rsidRDefault="00B836A2" w:rsidP="005510E8">
      <w:pPr>
        <w:tabs>
          <w:tab w:val="left" w:pos="374"/>
        </w:tabs>
        <w:spacing w:before="120" w:after="120" w:line="360" w:lineRule="exact"/>
        <w:jc w:val="both"/>
        <w:rPr>
          <w:rFonts w:eastAsia="Times New Roman"/>
          <w:rtl/>
          <w:lang w:eastAsia="he-IL"/>
        </w:rPr>
      </w:pPr>
      <w:r w:rsidRPr="00871C2C">
        <w:rPr>
          <w:rFonts w:eastAsia="Times New Roman" w:hint="cs"/>
          <w:b/>
          <w:bCs/>
          <w:rtl/>
          <w:lang w:eastAsia="he-IL"/>
        </w:rPr>
        <w:t>ההיבט השני</w:t>
      </w:r>
      <w:r w:rsidRPr="00871C2C">
        <w:rPr>
          <w:rFonts w:eastAsia="Times New Roman" w:hint="cs"/>
          <w:rtl/>
          <w:lang w:eastAsia="he-IL"/>
        </w:rPr>
        <w:t xml:space="preserve"> נוגע לקיומה </w:t>
      </w:r>
      <w:r w:rsidR="004B063E" w:rsidRPr="00871C2C">
        <w:rPr>
          <w:rFonts w:eastAsia="Times New Roman" w:hint="cs"/>
          <w:rtl/>
          <w:lang w:eastAsia="he-IL"/>
        </w:rPr>
        <w:t xml:space="preserve">או היעדרה </w:t>
      </w:r>
      <w:r w:rsidRPr="00871C2C">
        <w:rPr>
          <w:rFonts w:eastAsia="Times New Roman" w:hint="cs"/>
          <w:rtl/>
          <w:lang w:eastAsia="he-IL"/>
        </w:rPr>
        <w:t xml:space="preserve">של </w:t>
      </w:r>
      <w:r w:rsidR="009202D4" w:rsidRPr="00871C2C">
        <w:rPr>
          <w:rFonts w:eastAsia="Times New Roman" w:hint="cs"/>
          <w:rtl/>
          <w:lang w:eastAsia="he-IL"/>
        </w:rPr>
        <w:t>תכלית פרו-</w:t>
      </w:r>
      <w:r w:rsidRPr="00871C2C">
        <w:rPr>
          <w:rFonts w:eastAsia="Times New Roman" w:hint="cs"/>
          <w:rtl/>
          <w:lang w:eastAsia="he-IL"/>
        </w:rPr>
        <w:t>תחרותית</w:t>
      </w:r>
      <w:r w:rsidR="004B063E" w:rsidRPr="00871C2C">
        <w:rPr>
          <w:rFonts w:eastAsia="Times New Roman" w:hint="cs"/>
          <w:rtl/>
          <w:lang w:eastAsia="he-IL"/>
        </w:rPr>
        <w:t xml:space="preserve"> בהסדר</w:t>
      </w:r>
      <w:r w:rsidR="009E57F3" w:rsidRPr="00871C2C">
        <w:rPr>
          <w:rFonts w:eastAsia="Times New Roman" w:hint="cs"/>
          <w:rtl/>
          <w:lang w:eastAsia="he-IL"/>
        </w:rPr>
        <w:t xml:space="preserve">. </w:t>
      </w:r>
      <w:r w:rsidR="00A74807" w:rsidRPr="00871C2C">
        <w:rPr>
          <w:rFonts w:eastAsia="Times New Roman" w:hint="cs"/>
          <w:rtl/>
          <w:lang w:eastAsia="he-IL"/>
        </w:rPr>
        <w:t>אם להסדר</w:t>
      </w:r>
      <w:r w:rsidR="00A74807" w:rsidRPr="00871C2C">
        <w:rPr>
          <w:rFonts w:eastAsia="Times New Roman"/>
          <w:lang w:eastAsia="he-IL"/>
        </w:rPr>
        <w:t xml:space="preserve">RPM </w:t>
      </w:r>
      <w:r w:rsidR="00A0770B" w:rsidRPr="00871C2C">
        <w:rPr>
          <w:rFonts w:eastAsia="Times New Roman" w:hint="cs"/>
          <w:rtl/>
          <w:lang w:eastAsia="he-IL"/>
        </w:rPr>
        <w:t xml:space="preserve"> </w:t>
      </w:r>
      <w:r w:rsidR="009202D4" w:rsidRPr="00871C2C">
        <w:rPr>
          <w:rFonts w:eastAsia="Times New Roman" w:hint="cs"/>
          <w:rtl/>
          <w:lang w:eastAsia="he-IL"/>
        </w:rPr>
        <w:t>אין תכלית פרו-</w:t>
      </w:r>
      <w:r w:rsidR="00A74807" w:rsidRPr="00871C2C">
        <w:rPr>
          <w:rFonts w:eastAsia="Times New Roman" w:hint="cs"/>
          <w:rtl/>
          <w:lang w:eastAsia="he-IL"/>
        </w:rPr>
        <w:t xml:space="preserve">תחרותית </w:t>
      </w:r>
      <w:r w:rsidR="00A0770B" w:rsidRPr="00871C2C">
        <w:rPr>
          <w:rFonts w:eastAsia="Times New Roman" w:hint="cs"/>
          <w:rtl/>
          <w:lang w:eastAsia="he-IL"/>
        </w:rPr>
        <w:t xml:space="preserve">ברורה וישירה, תראה הרשות את ההסדר כהסדר כובל. </w:t>
      </w:r>
    </w:p>
    <w:p w14:paraId="24E00A66" w14:textId="0BEBCBCC" w:rsidR="008B3C3F" w:rsidRPr="00871C2C" w:rsidRDefault="00BE6ECE" w:rsidP="00E413E7">
      <w:pPr>
        <w:tabs>
          <w:tab w:val="left" w:pos="374"/>
        </w:tabs>
        <w:spacing w:before="120" w:after="120" w:line="360" w:lineRule="exact"/>
        <w:jc w:val="both"/>
        <w:rPr>
          <w:rFonts w:eastAsia="Times New Roman"/>
          <w:rtl/>
          <w:lang w:eastAsia="he-IL"/>
        </w:rPr>
      </w:pPr>
      <w:r w:rsidRPr="00871C2C">
        <w:rPr>
          <w:rFonts w:eastAsia="Times New Roman" w:hint="cs"/>
          <w:rtl/>
          <w:lang w:eastAsia="he-IL"/>
        </w:rPr>
        <w:t>ככלל</w:t>
      </w:r>
      <w:r w:rsidR="004B063E" w:rsidRPr="00871C2C">
        <w:rPr>
          <w:rFonts w:eastAsia="Times New Roman" w:hint="cs"/>
          <w:rtl/>
          <w:lang w:eastAsia="he-IL"/>
        </w:rPr>
        <w:t>,</w:t>
      </w:r>
      <w:r w:rsidRPr="00871C2C">
        <w:rPr>
          <w:rFonts w:eastAsia="Times New Roman" w:hint="cs"/>
          <w:rtl/>
          <w:lang w:eastAsia="he-IL"/>
        </w:rPr>
        <w:t xml:space="preserve"> הרשות תהיה נכונה להכיר בתועל</w:t>
      </w:r>
      <w:r w:rsidR="00AA70F8" w:rsidRPr="00871C2C">
        <w:rPr>
          <w:rFonts w:eastAsia="Times New Roman" w:hint="cs"/>
          <w:rtl/>
          <w:lang w:eastAsia="he-IL"/>
        </w:rPr>
        <w:t>ו</w:t>
      </w:r>
      <w:r w:rsidRPr="00871C2C">
        <w:rPr>
          <w:rFonts w:eastAsia="Times New Roman" w:hint="cs"/>
          <w:rtl/>
          <w:lang w:eastAsia="he-IL"/>
        </w:rPr>
        <w:t xml:space="preserve">ת </w:t>
      </w:r>
      <w:r w:rsidR="00AA70F8" w:rsidRPr="00871C2C">
        <w:rPr>
          <w:rFonts w:eastAsia="Times New Roman" w:hint="cs"/>
          <w:rtl/>
          <w:lang w:eastAsia="he-IL"/>
        </w:rPr>
        <w:t>ה</w:t>
      </w:r>
      <w:r w:rsidRPr="00871C2C">
        <w:rPr>
          <w:rFonts w:eastAsia="Times New Roman" w:hint="cs"/>
          <w:rtl/>
          <w:lang w:eastAsia="he-IL"/>
        </w:rPr>
        <w:t>פרו</w:t>
      </w:r>
      <w:r w:rsidR="00AA70F8" w:rsidRPr="00871C2C">
        <w:rPr>
          <w:rFonts w:eastAsia="Times New Roman" w:hint="cs"/>
          <w:rtl/>
          <w:lang w:eastAsia="he-IL"/>
        </w:rPr>
        <w:t>-</w:t>
      </w:r>
      <w:r w:rsidRPr="00871C2C">
        <w:rPr>
          <w:rFonts w:eastAsia="Times New Roman" w:hint="cs"/>
          <w:rtl/>
          <w:lang w:eastAsia="he-IL"/>
        </w:rPr>
        <w:t>תחרותי</w:t>
      </w:r>
      <w:r w:rsidR="00AA70F8" w:rsidRPr="00871C2C">
        <w:rPr>
          <w:rFonts w:eastAsia="Times New Roman" w:hint="cs"/>
          <w:rtl/>
          <w:lang w:eastAsia="he-IL"/>
        </w:rPr>
        <w:t>ו</w:t>
      </w:r>
      <w:r w:rsidRPr="00871C2C">
        <w:rPr>
          <w:rFonts w:eastAsia="Times New Roman" w:hint="cs"/>
          <w:rtl/>
          <w:lang w:eastAsia="he-IL"/>
        </w:rPr>
        <w:t xml:space="preserve">ת </w:t>
      </w:r>
      <w:r w:rsidR="00AA70F8" w:rsidRPr="00871C2C">
        <w:rPr>
          <w:rFonts w:eastAsia="Times New Roman" w:hint="cs"/>
          <w:rtl/>
          <w:lang w:eastAsia="he-IL"/>
        </w:rPr>
        <w:t>ה</w:t>
      </w:r>
      <w:r w:rsidRPr="00871C2C">
        <w:rPr>
          <w:rFonts w:eastAsia="Times New Roman" w:hint="cs"/>
          <w:rtl/>
          <w:lang w:eastAsia="he-IL"/>
        </w:rPr>
        <w:t>עיקרי</w:t>
      </w:r>
      <w:r w:rsidR="00AA70F8" w:rsidRPr="00871C2C">
        <w:rPr>
          <w:rFonts w:eastAsia="Times New Roman" w:hint="cs"/>
          <w:rtl/>
          <w:lang w:eastAsia="he-IL"/>
        </w:rPr>
        <w:t>ו</w:t>
      </w:r>
      <w:r w:rsidRPr="00871C2C">
        <w:rPr>
          <w:rFonts w:eastAsia="Times New Roman" w:hint="cs"/>
          <w:rtl/>
          <w:lang w:eastAsia="he-IL"/>
        </w:rPr>
        <w:t xml:space="preserve">ת </w:t>
      </w:r>
      <w:r w:rsidR="00B836A2" w:rsidRPr="00871C2C">
        <w:rPr>
          <w:rFonts w:eastAsia="Times New Roman" w:hint="cs"/>
          <w:rtl/>
          <w:lang w:eastAsia="he-IL"/>
        </w:rPr>
        <w:t>עליה</w:t>
      </w:r>
      <w:r w:rsidR="00AA70F8" w:rsidRPr="00871C2C">
        <w:rPr>
          <w:rFonts w:eastAsia="Times New Roman" w:hint="cs"/>
          <w:rtl/>
          <w:lang w:eastAsia="he-IL"/>
        </w:rPr>
        <w:t>ן</w:t>
      </w:r>
      <w:r w:rsidR="00B836A2" w:rsidRPr="00871C2C">
        <w:rPr>
          <w:rFonts w:eastAsia="Times New Roman" w:hint="cs"/>
          <w:rtl/>
          <w:lang w:eastAsia="he-IL"/>
        </w:rPr>
        <w:t xml:space="preserve"> עמדנו לעיל</w:t>
      </w:r>
      <w:r w:rsidRPr="00871C2C">
        <w:rPr>
          <w:rFonts w:eastAsia="Times New Roman" w:hint="cs"/>
          <w:rtl/>
          <w:lang w:eastAsia="he-IL"/>
        </w:rPr>
        <w:t xml:space="preserve"> </w:t>
      </w:r>
      <w:r w:rsidRPr="00871C2C">
        <w:rPr>
          <w:rFonts w:eastAsia="Times New Roman"/>
          <w:rtl/>
          <w:lang w:eastAsia="he-IL"/>
        </w:rPr>
        <w:t>–</w:t>
      </w:r>
      <w:r w:rsidRPr="00871C2C">
        <w:rPr>
          <w:rFonts w:eastAsia="Times New Roman" w:hint="cs"/>
          <w:rtl/>
          <w:lang w:eastAsia="he-IL"/>
        </w:rPr>
        <w:t xml:space="preserve"> </w:t>
      </w:r>
      <w:r w:rsidR="004B063E" w:rsidRPr="00871C2C">
        <w:rPr>
          <w:rFonts w:eastAsia="Times New Roman" w:hint="cs"/>
          <w:rtl/>
          <w:lang w:eastAsia="he-IL"/>
        </w:rPr>
        <w:t xml:space="preserve">עידוד </w:t>
      </w:r>
      <w:r w:rsidRPr="00871C2C">
        <w:rPr>
          <w:rFonts w:eastAsia="Times New Roman" w:hint="cs"/>
          <w:rtl/>
          <w:lang w:eastAsia="he-IL"/>
        </w:rPr>
        <w:t>החוליה הקמעונאית להשקיע בקידום מכירת המוצר באמצעות מתן שירותים נלווים (</w:t>
      </w:r>
      <w:r w:rsidR="008B3C3F" w:rsidRPr="00871C2C">
        <w:rPr>
          <w:rFonts w:eastAsia="Times New Roman" w:hint="cs"/>
          <w:rtl/>
          <w:lang w:eastAsia="he-IL"/>
        </w:rPr>
        <w:t xml:space="preserve">הדגמות, </w:t>
      </w:r>
      <w:r w:rsidRPr="00871C2C">
        <w:rPr>
          <w:rFonts w:eastAsia="Times New Roman" w:hint="cs"/>
          <w:rtl/>
          <w:lang w:eastAsia="he-IL"/>
        </w:rPr>
        <w:t>אנשי מכירות, תצוגה רחבה, השקעות בפרסום וכיו"ב)</w:t>
      </w:r>
      <w:r w:rsidR="00AA70F8" w:rsidRPr="00871C2C">
        <w:rPr>
          <w:rFonts w:eastAsia="Times New Roman" w:hint="cs"/>
          <w:rtl/>
          <w:lang w:eastAsia="he-IL"/>
        </w:rPr>
        <w:t xml:space="preserve">, במיוחד במקרה של </w:t>
      </w:r>
      <w:r w:rsidR="00D74FE3" w:rsidRPr="00871C2C">
        <w:rPr>
          <w:rFonts w:eastAsia="Times New Roman" w:hint="cs"/>
          <w:rtl/>
          <w:lang w:eastAsia="he-IL"/>
        </w:rPr>
        <w:t xml:space="preserve">השקת </w:t>
      </w:r>
      <w:r w:rsidR="00384047" w:rsidRPr="00871C2C">
        <w:rPr>
          <w:rFonts w:eastAsia="Times New Roman" w:hint="cs"/>
          <w:rtl/>
          <w:lang w:eastAsia="he-IL"/>
        </w:rPr>
        <w:t>מוצר חדש,</w:t>
      </w:r>
      <w:r w:rsidRPr="00871C2C">
        <w:rPr>
          <w:rFonts w:eastAsia="Times New Roman" w:hint="cs"/>
          <w:rtl/>
          <w:lang w:eastAsia="he-IL"/>
        </w:rPr>
        <w:t xml:space="preserve"> </w:t>
      </w:r>
      <w:r w:rsidR="004B063E" w:rsidRPr="00871C2C">
        <w:rPr>
          <w:rFonts w:eastAsia="Times New Roman" w:hint="cs"/>
          <w:rtl/>
          <w:lang w:eastAsia="he-IL"/>
        </w:rPr>
        <w:t>תוך מניעה וצמצום</w:t>
      </w:r>
      <w:r w:rsidRPr="00871C2C">
        <w:rPr>
          <w:rFonts w:eastAsia="Times New Roman" w:hint="cs"/>
          <w:rtl/>
          <w:lang w:eastAsia="he-IL"/>
        </w:rPr>
        <w:t xml:space="preserve"> בעי</w:t>
      </w:r>
      <w:r w:rsidR="0026776C" w:rsidRPr="00871C2C">
        <w:rPr>
          <w:rFonts w:eastAsia="Times New Roman" w:hint="cs"/>
          <w:rtl/>
          <w:lang w:eastAsia="he-IL"/>
        </w:rPr>
        <w:t>ו</w:t>
      </w:r>
      <w:r w:rsidRPr="00871C2C">
        <w:rPr>
          <w:rFonts w:eastAsia="Times New Roman" w:hint="cs"/>
          <w:rtl/>
          <w:lang w:eastAsia="he-IL"/>
        </w:rPr>
        <w:t xml:space="preserve">ת </w:t>
      </w:r>
      <w:r w:rsidR="0026776C" w:rsidRPr="00871C2C">
        <w:rPr>
          <w:rFonts w:eastAsia="Times New Roman" w:hint="cs"/>
          <w:rtl/>
          <w:lang w:eastAsia="he-IL"/>
        </w:rPr>
        <w:t xml:space="preserve">הסוכן </w:t>
      </w:r>
      <w:r w:rsidR="00313EBB" w:rsidRPr="00871C2C">
        <w:rPr>
          <w:rFonts w:eastAsia="Times New Roman" w:hint="cs"/>
          <w:rtl/>
          <w:lang w:eastAsia="he-IL"/>
        </w:rPr>
        <w:t xml:space="preserve">או </w:t>
      </w:r>
      <w:r w:rsidRPr="00871C2C">
        <w:rPr>
          <w:rFonts w:eastAsia="Times New Roman" w:hint="cs"/>
          <w:rtl/>
          <w:lang w:eastAsia="he-IL"/>
        </w:rPr>
        <w:t xml:space="preserve">הטרמפיסט כמתואר לעיל. </w:t>
      </w:r>
      <w:r w:rsidR="004B063E" w:rsidRPr="00871C2C">
        <w:rPr>
          <w:rFonts w:eastAsia="Times New Roman" w:hint="cs"/>
          <w:rtl/>
          <w:lang w:eastAsia="he-IL"/>
        </w:rPr>
        <w:t xml:space="preserve">בהתאם, </w:t>
      </w:r>
      <w:r w:rsidR="00B23BFD" w:rsidRPr="00871C2C">
        <w:rPr>
          <w:rFonts w:eastAsia="Times New Roman" w:hint="cs"/>
          <w:rtl/>
          <w:lang w:eastAsia="he-IL"/>
        </w:rPr>
        <w:t xml:space="preserve">ככל </w:t>
      </w:r>
      <w:r w:rsidR="004B063E" w:rsidRPr="00871C2C">
        <w:rPr>
          <w:rFonts w:eastAsia="Times New Roman" w:hint="cs"/>
          <w:rtl/>
          <w:lang w:eastAsia="he-IL"/>
        </w:rPr>
        <w:t>ש</w:t>
      </w:r>
      <w:r w:rsidR="00E476AB" w:rsidRPr="00871C2C">
        <w:rPr>
          <w:rFonts w:hint="cs"/>
          <w:rtl/>
        </w:rPr>
        <w:t>אופי המוצר והתחרות הבין-מותגית המתקיימת בשוק מחייב</w:t>
      </w:r>
      <w:r w:rsidR="00F64ECF" w:rsidRPr="00871C2C">
        <w:rPr>
          <w:rFonts w:hint="cs"/>
          <w:rtl/>
        </w:rPr>
        <w:t>ים</w:t>
      </w:r>
      <w:r w:rsidR="00E476AB" w:rsidRPr="00871C2C">
        <w:rPr>
          <w:rFonts w:hint="cs"/>
          <w:rtl/>
        </w:rPr>
        <w:t xml:space="preserve"> השקע</w:t>
      </w:r>
      <w:r w:rsidR="005544AE" w:rsidRPr="00871C2C">
        <w:rPr>
          <w:rFonts w:hint="cs"/>
          <w:rtl/>
        </w:rPr>
        <w:t>ה מצד</w:t>
      </w:r>
      <w:r w:rsidR="00E476AB" w:rsidRPr="00871C2C">
        <w:rPr>
          <w:rFonts w:hint="cs"/>
          <w:rtl/>
        </w:rPr>
        <w:t xml:space="preserve"> קמעונאים באספקת שירותים נלווים, אשר יכולת הספק לעקוב אחריה מוגבלת</w:t>
      </w:r>
      <w:r w:rsidR="00B23BFD" w:rsidRPr="00871C2C">
        <w:rPr>
          <w:rFonts w:eastAsia="Times New Roman" w:hint="cs"/>
          <w:rtl/>
          <w:lang w:eastAsia="he-IL"/>
        </w:rPr>
        <w:t>, כך תיטה הרשות למסקנה</w:t>
      </w:r>
      <w:r w:rsidR="00B5386E" w:rsidRPr="00871C2C">
        <w:rPr>
          <w:rFonts w:eastAsia="Times New Roman" w:hint="cs"/>
          <w:rtl/>
          <w:lang w:eastAsia="he-IL"/>
        </w:rPr>
        <w:t>,</w:t>
      </w:r>
      <w:r w:rsidR="00B23BFD" w:rsidRPr="00871C2C">
        <w:rPr>
          <w:rFonts w:eastAsia="Times New Roman" w:hint="cs"/>
          <w:rtl/>
          <w:lang w:eastAsia="he-IL"/>
        </w:rPr>
        <w:t xml:space="preserve"> כי קיימת תועלת </w:t>
      </w:r>
      <w:r w:rsidR="004B063E" w:rsidRPr="00871C2C">
        <w:rPr>
          <w:rFonts w:eastAsia="Times New Roman" w:hint="cs"/>
          <w:rtl/>
          <w:lang w:eastAsia="he-IL"/>
        </w:rPr>
        <w:t xml:space="preserve">של ממש </w:t>
      </w:r>
      <w:r w:rsidR="00B23BFD" w:rsidRPr="00871C2C">
        <w:rPr>
          <w:rFonts w:eastAsia="Times New Roman" w:hint="cs"/>
          <w:rtl/>
          <w:lang w:eastAsia="he-IL"/>
        </w:rPr>
        <w:t>בהסדר ה-</w:t>
      </w:r>
      <w:r w:rsidR="00B23BFD" w:rsidRPr="00871C2C">
        <w:rPr>
          <w:rFonts w:eastAsia="Times New Roman"/>
          <w:lang w:eastAsia="he-IL"/>
        </w:rPr>
        <w:t>RPM</w:t>
      </w:r>
      <w:r w:rsidR="004B063E" w:rsidRPr="00871C2C">
        <w:rPr>
          <w:rFonts w:eastAsia="Times New Roman" w:hint="cs"/>
          <w:rtl/>
          <w:lang w:eastAsia="he-IL"/>
        </w:rPr>
        <w:t xml:space="preserve"> וכי יש בו כדי לתרום לתחרות הבין-מותגית</w:t>
      </w:r>
      <w:r w:rsidR="00E476AB" w:rsidRPr="00871C2C">
        <w:rPr>
          <w:rFonts w:eastAsia="Times New Roman" w:hint="cs"/>
          <w:rtl/>
          <w:lang w:eastAsia="he-IL"/>
        </w:rPr>
        <w:t xml:space="preserve">. </w:t>
      </w:r>
      <w:r w:rsidR="00007B6F" w:rsidRPr="00871C2C">
        <w:rPr>
          <w:rFonts w:eastAsia="Times New Roman" w:hint="cs"/>
          <w:rtl/>
          <w:lang w:eastAsia="he-IL"/>
        </w:rPr>
        <w:t xml:space="preserve">עדויות לקיומה של בעיית טרמפיסט במקטע הקמעונאי בפועל יחזקו מסקנה </w:t>
      </w:r>
      <w:r w:rsidR="00F23234" w:rsidRPr="00871C2C">
        <w:rPr>
          <w:rFonts w:eastAsia="Times New Roman" w:hint="cs"/>
          <w:rtl/>
          <w:lang w:eastAsia="he-IL"/>
        </w:rPr>
        <w:t>זאת</w:t>
      </w:r>
      <w:r w:rsidR="00007B6F" w:rsidRPr="00871C2C">
        <w:rPr>
          <w:rFonts w:eastAsia="Times New Roman" w:hint="cs"/>
          <w:rtl/>
          <w:lang w:eastAsia="he-IL"/>
        </w:rPr>
        <w:t xml:space="preserve">. </w:t>
      </w:r>
      <w:r w:rsidR="00A0770B" w:rsidRPr="00871C2C">
        <w:rPr>
          <w:rFonts w:eastAsia="Times New Roman" w:hint="cs"/>
          <w:rtl/>
          <w:lang w:eastAsia="he-IL"/>
        </w:rPr>
        <w:t xml:space="preserve">נדגיש, </w:t>
      </w:r>
      <w:r w:rsidR="008B3C3F" w:rsidRPr="00871C2C">
        <w:rPr>
          <w:rFonts w:eastAsia="Times New Roman" w:hint="cs"/>
          <w:rtl/>
          <w:lang w:eastAsia="he-IL"/>
        </w:rPr>
        <w:t>כי</w:t>
      </w:r>
      <w:r w:rsidR="00EB652F" w:rsidRPr="00871C2C">
        <w:rPr>
          <w:rFonts w:eastAsia="Times New Roman" w:hint="cs"/>
          <w:rtl/>
          <w:lang w:eastAsia="he-IL"/>
        </w:rPr>
        <w:t xml:space="preserve"> </w:t>
      </w:r>
      <w:r w:rsidR="00B23BFD" w:rsidRPr="00871C2C">
        <w:rPr>
          <w:rFonts w:eastAsia="Times New Roman" w:hint="cs"/>
          <w:rtl/>
          <w:lang w:eastAsia="he-IL"/>
        </w:rPr>
        <w:t xml:space="preserve">על מנת </w:t>
      </w:r>
      <w:r w:rsidR="009202D4" w:rsidRPr="00871C2C">
        <w:rPr>
          <w:rFonts w:eastAsia="Times New Roman" w:hint="cs"/>
          <w:rtl/>
          <w:lang w:eastAsia="he-IL"/>
        </w:rPr>
        <w:t>להצדיק תועלת פרו-</w:t>
      </w:r>
      <w:r w:rsidR="00B23BFD" w:rsidRPr="00871C2C">
        <w:rPr>
          <w:rFonts w:eastAsia="Times New Roman" w:hint="cs"/>
          <w:rtl/>
          <w:lang w:eastAsia="he-IL"/>
        </w:rPr>
        <w:t>תחרותית, נדרש</w:t>
      </w:r>
      <w:r w:rsidR="00290687" w:rsidRPr="00871C2C">
        <w:rPr>
          <w:rFonts w:eastAsia="Times New Roman" w:hint="cs"/>
          <w:rtl/>
          <w:lang w:eastAsia="he-IL"/>
        </w:rPr>
        <w:t>ים תימוכין קונקרטיים לכך שהסדר ה-</w:t>
      </w:r>
      <w:r w:rsidR="00290687" w:rsidRPr="00871C2C">
        <w:rPr>
          <w:rFonts w:eastAsia="Times New Roman"/>
          <w:lang w:eastAsia="he-IL"/>
        </w:rPr>
        <w:t>RPM</w:t>
      </w:r>
      <w:r w:rsidR="00290687" w:rsidRPr="00871C2C">
        <w:rPr>
          <w:rFonts w:eastAsia="Times New Roman" w:hint="cs"/>
          <w:rtl/>
          <w:lang w:eastAsia="he-IL"/>
        </w:rPr>
        <w:t xml:space="preserve"> שיפר </w:t>
      </w:r>
      <w:r w:rsidR="005B0A64" w:rsidRPr="00871C2C">
        <w:rPr>
          <w:rFonts w:eastAsia="Times New Roman" w:hint="cs"/>
          <w:rtl/>
          <w:lang w:eastAsia="he-IL"/>
        </w:rPr>
        <w:t xml:space="preserve">או עומד לשפר </w:t>
      </w:r>
      <w:r w:rsidR="00290687" w:rsidRPr="00871C2C">
        <w:rPr>
          <w:rFonts w:eastAsia="Times New Roman" w:hint="cs"/>
          <w:rtl/>
          <w:lang w:eastAsia="he-IL"/>
        </w:rPr>
        <w:t xml:space="preserve">את השירותים הנלווים למכירת המוצר בפועל או </w:t>
      </w:r>
      <w:r w:rsidR="009407D5" w:rsidRPr="00871C2C">
        <w:rPr>
          <w:rFonts w:eastAsia="Times New Roman" w:hint="cs"/>
          <w:rtl/>
          <w:lang w:eastAsia="he-IL"/>
        </w:rPr>
        <w:t>שקיימת תכנית קונקרטית לשיפורם כאמור</w:t>
      </w:r>
      <w:r w:rsidR="000C2AA1" w:rsidRPr="00871C2C">
        <w:rPr>
          <w:rFonts w:eastAsia="Times New Roman" w:hint="cs"/>
          <w:rtl/>
          <w:lang w:eastAsia="he-IL"/>
        </w:rPr>
        <w:t xml:space="preserve"> כתוצאה מהסדר ה-</w:t>
      </w:r>
      <w:r w:rsidR="000C2AA1" w:rsidRPr="00871C2C">
        <w:rPr>
          <w:rFonts w:eastAsia="Times New Roman"/>
          <w:lang w:eastAsia="he-IL"/>
        </w:rPr>
        <w:t>RPM</w:t>
      </w:r>
      <w:r w:rsidR="00290687" w:rsidRPr="00871C2C">
        <w:rPr>
          <w:rFonts w:eastAsia="Times New Roman" w:hint="cs"/>
          <w:rtl/>
          <w:lang w:eastAsia="he-IL"/>
        </w:rPr>
        <w:t xml:space="preserve">; </w:t>
      </w:r>
      <w:r w:rsidR="00B23BFD" w:rsidRPr="00871C2C">
        <w:rPr>
          <w:rFonts w:eastAsia="Times New Roman" w:hint="cs"/>
          <w:rtl/>
          <w:lang w:eastAsia="he-IL"/>
        </w:rPr>
        <w:t xml:space="preserve">לא די </w:t>
      </w:r>
      <w:r w:rsidR="00290687" w:rsidRPr="00871C2C">
        <w:rPr>
          <w:rFonts w:eastAsia="Times New Roman" w:hint="cs"/>
          <w:rtl/>
          <w:lang w:eastAsia="he-IL"/>
        </w:rPr>
        <w:t xml:space="preserve">לעניין זה </w:t>
      </w:r>
      <w:r w:rsidR="00B23BFD" w:rsidRPr="00871C2C">
        <w:rPr>
          <w:rFonts w:eastAsia="Times New Roman" w:hint="cs"/>
          <w:rtl/>
          <w:lang w:eastAsia="he-IL"/>
        </w:rPr>
        <w:t>באמירות כלליות באשר לעידוד החוליה הקמעונאית להעניק שירות טוב יותר או להגדיל את השקעותיה.</w:t>
      </w:r>
      <w:r w:rsidR="00E413E7" w:rsidRPr="00871C2C" w:rsidDel="00E413E7">
        <w:rPr>
          <w:rStyle w:val="FootnoteReference"/>
          <w:rFonts w:eastAsia="Times New Roman"/>
          <w:rtl/>
          <w:lang w:eastAsia="he-IL"/>
        </w:rPr>
        <w:t xml:space="preserve"> </w:t>
      </w:r>
    </w:p>
    <w:p w14:paraId="71EFE2B3" w14:textId="1301F661" w:rsidR="00167771" w:rsidRPr="00871C2C" w:rsidRDefault="00167771" w:rsidP="00B779F6">
      <w:pPr>
        <w:tabs>
          <w:tab w:val="left" w:pos="374"/>
        </w:tabs>
        <w:spacing w:before="120" w:after="120" w:line="360" w:lineRule="exact"/>
        <w:jc w:val="both"/>
        <w:rPr>
          <w:rFonts w:eastAsia="Times New Roman"/>
          <w:rtl/>
          <w:lang w:eastAsia="he-IL"/>
        </w:rPr>
      </w:pPr>
      <w:r w:rsidRPr="00871C2C">
        <w:rPr>
          <w:rFonts w:hint="cs"/>
          <w:rtl/>
        </w:rPr>
        <w:t xml:space="preserve">כמו כן, הרשות תיטה שלא לנקוט בצעדי אכיפה ביחס להסדרי </w:t>
      </w:r>
      <w:r w:rsidRPr="00871C2C">
        <w:t>RPM</w:t>
      </w:r>
      <w:r w:rsidRPr="00871C2C">
        <w:rPr>
          <w:rFonts w:hint="cs"/>
          <w:rtl/>
        </w:rPr>
        <w:t xml:space="preserve"> שמתייחסים למוצרי יוקרה מובהקים, אשר אופי הצריכה שלהם מלמד על כך שהלקוח אינו רגיש למחירם או שהוא דווקא מבקש לרכוש אותם בשל מחירם הגבוה.</w:t>
      </w:r>
    </w:p>
    <w:p w14:paraId="6589D8D5" w14:textId="30A9114B" w:rsidR="00957D45" w:rsidRPr="00871C2C" w:rsidRDefault="00957D45" w:rsidP="00167771">
      <w:pPr>
        <w:tabs>
          <w:tab w:val="left" w:pos="374"/>
        </w:tabs>
        <w:spacing w:before="120" w:after="120" w:line="360" w:lineRule="exact"/>
        <w:jc w:val="both"/>
        <w:rPr>
          <w:rFonts w:eastAsia="Times New Roman"/>
          <w:rtl/>
          <w:lang w:eastAsia="he-IL"/>
        </w:rPr>
      </w:pPr>
      <w:r w:rsidRPr="00871C2C">
        <w:rPr>
          <w:rFonts w:hint="cs"/>
          <w:rtl/>
          <w:lang w:eastAsia="he-IL"/>
        </w:rPr>
        <w:t>לעניין שיעור הכיסוי של הסדרי ה-</w:t>
      </w:r>
      <w:r w:rsidRPr="00871C2C">
        <w:rPr>
          <w:lang w:eastAsia="he-IL"/>
        </w:rPr>
        <w:t>RPM</w:t>
      </w:r>
      <w:r w:rsidRPr="00871C2C">
        <w:rPr>
          <w:rFonts w:hint="cs"/>
          <w:rtl/>
          <w:lang w:eastAsia="he-IL"/>
        </w:rPr>
        <w:t xml:space="preserve"> את כל אחד מן המקטעים, שיעור כיסוי גבוה או נמוך עשוי להישקל לשני כיוונים: מצד אחד ככל ששיעור הכיסוי של הסדרי </w:t>
      </w:r>
      <w:r w:rsidRPr="00871C2C">
        <w:rPr>
          <w:lang w:eastAsia="he-IL"/>
        </w:rPr>
        <w:t>RPM</w:t>
      </w:r>
      <w:r w:rsidRPr="00871C2C">
        <w:rPr>
          <w:rFonts w:hint="cs"/>
          <w:rtl/>
          <w:lang w:eastAsia="he-IL"/>
        </w:rPr>
        <w:t xml:space="preserve"> גבוה יותר באחד או יותר משני המקטעים, כך יגברו החששות מפני הקלות על יצירת שיווי משקל אל-תחרותי כמוסבר לעיל. מצד שני כיסוי רחב של הסדרי </w:t>
      </w:r>
      <w:r w:rsidRPr="00871C2C">
        <w:rPr>
          <w:lang w:eastAsia="he-IL"/>
        </w:rPr>
        <w:t>RPM</w:t>
      </w:r>
      <w:r w:rsidRPr="00871C2C">
        <w:rPr>
          <w:rFonts w:hint="cs"/>
          <w:rtl/>
          <w:lang w:eastAsia="he-IL"/>
        </w:rPr>
        <w:t xml:space="preserve"> עשוי גם להעיד על כך שמאפייני השוק הרלוונטיים מצריכים הסדרי </w:t>
      </w:r>
      <w:r w:rsidRPr="00871C2C">
        <w:rPr>
          <w:lang w:eastAsia="he-IL"/>
        </w:rPr>
        <w:t>RPM</w:t>
      </w:r>
      <w:r w:rsidRPr="00871C2C">
        <w:rPr>
          <w:rFonts w:hint="cs"/>
          <w:rtl/>
          <w:lang w:eastAsia="he-IL"/>
        </w:rPr>
        <w:t xml:space="preserve"> על מנת להתגבר על בעיות סוכן ובעיות נציג כמוסבר לעיל. לפיכך אופן השפעתו של שיעור הכיסוי על עוצמת החששות התחרותיים והתכליות הפרו-תחרותיות ייקבע בכל מקרה על פי נסיבותיו.</w:t>
      </w:r>
    </w:p>
    <w:p w14:paraId="2F21A7D6" w14:textId="64C59DB2" w:rsidR="008C2A04" w:rsidRPr="00871C2C" w:rsidRDefault="002C2034" w:rsidP="00957D45">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שני היבטים אלה הם תנאים </w:t>
      </w:r>
      <w:r w:rsidRPr="00871C2C">
        <w:rPr>
          <w:rFonts w:eastAsia="Times New Roman" w:hint="cs"/>
          <w:b/>
          <w:bCs/>
          <w:rtl/>
          <w:lang w:eastAsia="he-IL"/>
        </w:rPr>
        <w:t xml:space="preserve">מצטברים </w:t>
      </w:r>
      <w:r w:rsidRPr="00871C2C">
        <w:rPr>
          <w:rFonts w:eastAsia="Times New Roman" w:hint="cs"/>
          <w:rtl/>
          <w:lang w:eastAsia="he-IL"/>
        </w:rPr>
        <w:t xml:space="preserve">להכשרת הסדר </w:t>
      </w:r>
      <w:r w:rsidRPr="00871C2C">
        <w:rPr>
          <w:rFonts w:eastAsia="Times New Roman"/>
          <w:lang w:eastAsia="he-IL"/>
        </w:rPr>
        <w:t>RPM</w:t>
      </w:r>
      <w:r w:rsidRPr="00871C2C">
        <w:rPr>
          <w:rFonts w:eastAsia="Times New Roman" w:hint="cs"/>
          <w:rtl/>
          <w:lang w:eastAsia="he-IL"/>
        </w:rPr>
        <w:t>: רק הסדר שנערך בתחום שבו שוררת מידה מספקת של תחרות ו</w:t>
      </w:r>
      <w:r w:rsidR="0060530C" w:rsidRPr="00871C2C">
        <w:rPr>
          <w:rFonts w:eastAsia="Times New Roman" w:hint="cs"/>
          <w:rtl/>
          <w:lang w:eastAsia="he-IL"/>
        </w:rPr>
        <w:t xml:space="preserve">בנוסף הוא </w:t>
      </w:r>
      <w:r w:rsidRPr="00871C2C">
        <w:rPr>
          <w:rFonts w:eastAsia="Times New Roman" w:hint="cs"/>
          <w:rtl/>
          <w:lang w:eastAsia="he-IL"/>
        </w:rPr>
        <w:t xml:space="preserve">נדרש לצורך קידום התחרות באופן המיטיב עם ציבור הצרכנים, ייתפס כהסדר אשר אינו </w:t>
      </w:r>
      <w:r w:rsidR="00813286" w:rsidRPr="00871C2C">
        <w:rPr>
          <w:rFonts w:eastAsia="Times New Roman" w:hint="cs"/>
          <w:rtl/>
          <w:lang w:eastAsia="he-IL"/>
        </w:rPr>
        <w:t>מקים חשש</w:t>
      </w:r>
      <w:r w:rsidRPr="00871C2C">
        <w:rPr>
          <w:rFonts w:eastAsia="Times New Roman" w:hint="cs"/>
          <w:rtl/>
          <w:lang w:eastAsia="he-IL"/>
        </w:rPr>
        <w:t xml:space="preserve"> למנ</w:t>
      </w:r>
      <w:r w:rsidR="00813286" w:rsidRPr="00871C2C">
        <w:rPr>
          <w:rFonts w:eastAsia="Times New Roman" w:hint="cs"/>
          <w:rtl/>
          <w:lang w:eastAsia="he-IL"/>
        </w:rPr>
        <w:t>י</w:t>
      </w:r>
      <w:r w:rsidRPr="00871C2C">
        <w:rPr>
          <w:rFonts w:eastAsia="Times New Roman" w:hint="cs"/>
          <w:rtl/>
          <w:lang w:eastAsia="he-IL"/>
        </w:rPr>
        <w:t>ע</w:t>
      </w:r>
      <w:r w:rsidR="00813286" w:rsidRPr="00871C2C">
        <w:rPr>
          <w:rFonts w:eastAsia="Times New Roman" w:hint="cs"/>
          <w:rtl/>
          <w:lang w:eastAsia="he-IL"/>
        </w:rPr>
        <w:t>ת</w:t>
      </w:r>
      <w:r w:rsidRPr="00871C2C">
        <w:rPr>
          <w:rFonts w:eastAsia="Times New Roman" w:hint="cs"/>
          <w:rtl/>
          <w:lang w:eastAsia="he-IL"/>
        </w:rPr>
        <w:t xml:space="preserve"> או להפח</w:t>
      </w:r>
      <w:r w:rsidR="00813286" w:rsidRPr="00871C2C">
        <w:rPr>
          <w:rFonts w:eastAsia="Times New Roman" w:hint="cs"/>
          <w:rtl/>
          <w:lang w:eastAsia="he-IL"/>
        </w:rPr>
        <w:t>ת</w:t>
      </w:r>
      <w:r w:rsidRPr="00871C2C">
        <w:rPr>
          <w:rFonts w:eastAsia="Times New Roman" w:hint="cs"/>
          <w:rtl/>
          <w:lang w:eastAsia="he-IL"/>
        </w:rPr>
        <w:t xml:space="preserve">ת התחרות. </w:t>
      </w:r>
      <w:r w:rsidR="008C2A04" w:rsidRPr="00871C2C">
        <w:rPr>
          <w:rFonts w:eastAsia="Times New Roman" w:hint="cs"/>
          <w:rtl/>
          <w:lang w:eastAsia="he-IL"/>
        </w:rPr>
        <w:t xml:space="preserve">ככל שמאפייני השוק </w:t>
      </w:r>
      <w:r w:rsidR="00673F33" w:rsidRPr="00871C2C">
        <w:rPr>
          <w:rFonts w:eastAsia="Times New Roman" w:hint="cs"/>
          <w:rtl/>
          <w:lang w:eastAsia="he-IL"/>
        </w:rPr>
        <w:t>מצביעים על מידה פחותה של תחרות בשוק</w:t>
      </w:r>
      <w:r w:rsidR="008C2A04" w:rsidRPr="00871C2C">
        <w:rPr>
          <w:rFonts w:eastAsia="Times New Roman" w:hint="cs"/>
          <w:rtl/>
          <w:lang w:eastAsia="he-IL"/>
        </w:rPr>
        <w:t>, כך תידרש הצדקה מובהקת יותר ומשמעותית יותר</w:t>
      </w:r>
      <w:r w:rsidR="00E476AB" w:rsidRPr="00871C2C">
        <w:rPr>
          <w:rFonts w:eastAsia="Times New Roman" w:hint="cs"/>
          <w:rtl/>
          <w:lang w:eastAsia="he-IL"/>
        </w:rPr>
        <w:t>, הנובעת ב</w:t>
      </w:r>
      <w:r w:rsidR="00E476AB" w:rsidRPr="00871C2C">
        <w:rPr>
          <w:rFonts w:eastAsia="Times New Roman" w:hint="cs"/>
          <w:b/>
          <w:bCs/>
          <w:rtl/>
          <w:lang w:eastAsia="he-IL"/>
        </w:rPr>
        <w:t>אופן ישיר וקונקרטי</w:t>
      </w:r>
      <w:r w:rsidR="00E476AB" w:rsidRPr="00871C2C">
        <w:rPr>
          <w:rFonts w:eastAsia="Times New Roman" w:hint="cs"/>
          <w:rtl/>
          <w:lang w:eastAsia="he-IL"/>
        </w:rPr>
        <w:t xml:space="preserve"> מ</w:t>
      </w:r>
      <w:r w:rsidR="00224095" w:rsidRPr="00871C2C">
        <w:rPr>
          <w:rFonts w:eastAsia="Times New Roman" w:hint="cs"/>
          <w:rtl/>
          <w:lang w:eastAsia="he-IL"/>
        </w:rPr>
        <w:t>הסדר ה-</w:t>
      </w:r>
      <w:r w:rsidR="00224095" w:rsidRPr="00871C2C">
        <w:rPr>
          <w:rFonts w:eastAsia="Times New Roman"/>
          <w:lang w:eastAsia="he-IL"/>
        </w:rPr>
        <w:t>RPM</w:t>
      </w:r>
      <w:r w:rsidR="00224095" w:rsidRPr="00871C2C">
        <w:rPr>
          <w:rFonts w:eastAsia="Times New Roman" w:hint="cs"/>
          <w:rtl/>
          <w:lang w:eastAsia="he-IL"/>
        </w:rPr>
        <w:t xml:space="preserve"> כדי </w:t>
      </w:r>
      <w:r w:rsidR="00775ADA" w:rsidRPr="00871C2C">
        <w:rPr>
          <w:rFonts w:eastAsia="Times New Roman" w:hint="cs"/>
          <w:rtl/>
          <w:lang w:eastAsia="he-IL"/>
        </w:rPr>
        <w:t>להטות את הכף לכיוון ההכרעה</w:t>
      </w:r>
      <w:r w:rsidR="00B5386E" w:rsidRPr="00871C2C">
        <w:rPr>
          <w:rFonts w:eastAsia="Times New Roman" w:hint="cs"/>
          <w:rtl/>
          <w:lang w:eastAsia="he-IL"/>
        </w:rPr>
        <w:t>,</w:t>
      </w:r>
      <w:r w:rsidR="00775ADA" w:rsidRPr="00871C2C">
        <w:rPr>
          <w:rFonts w:eastAsia="Times New Roman" w:hint="cs"/>
          <w:rtl/>
          <w:lang w:eastAsia="he-IL"/>
        </w:rPr>
        <w:t xml:space="preserve"> כי </w:t>
      </w:r>
      <w:r w:rsidR="000C08C5" w:rsidRPr="00871C2C">
        <w:rPr>
          <w:rFonts w:eastAsia="Times New Roman" w:hint="cs"/>
          <w:rtl/>
          <w:lang w:eastAsia="he-IL"/>
        </w:rPr>
        <w:t xml:space="preserve">ההסדר אינו </w:t>
      </w:r>
      <w:r w:rsidR="00813286" w:rsidRPr="00871C2C">
        <w:rPr>
          <w:rFonts w:eastAsia="Times New Roman" w:hint="cs"/>
          <w:rtl/>
          <w:lang w:eastAsia="he-IL"/>
        </w:rPr>
        <w:t xml:space="preserve">מקים חשש לפגיעה </w:t>
      </w:r>
      <w:r w:rsidR="000C08C5" w:rsidRPr="00871C2C">
        <w:rPr>
          <w:rFonts w:eastAsia="Times New Roman" w:hint="cs"/>
          <w:rtl/>
          <w:lang w:eastAsia="he-IL"/>
        </w:rPr>
        <w:t>בתחרות אלא ש</w:t>
      </w:r>
      <w:r w:rsidR="00775ADA" w:rsidRPr="00871C2C">
        <w:rPr>
          <w:rFonts w:eastAsia="Times New Roman" w:hint="cs"/>
          <w:rtl/>
          <w:lang w:eastAsia="he-IL"/>
        </w:rPr>
        <w:t xml:space="preserve">תוצאתו </w:t>
      </w:r>
      <w:r w:rsidR="00AE240F" w:rsidRPr="00871C2C">
        <w:rPr>
          <w:rFonts w:eastAsia="Times New Roman" w:hint="cs"/>
          <w:rtl/>
          <w:lang w:eastAsia="he-IL"/>
        </w:rPr>
        <w:t>הכוללת</w:t>
      </w:r>
      <w:r w:rsidR="00446909" w:rsidRPr="00871C2C">
        <w:rPr>
          <w:rFonts w:eastAsia="Times New Roman" w:hint="cs"/>
          <w:rtl/>
          <w:lang w:eastAsia="he-IL"/>
        </w:rPr>
        <w:t xml:space="preserve"> הצפויה</w:t>
      </w:r>
      <w:r w:rsidR="00AE240F" w:rsidRPr="00871C2C">
        <w:rPr>
          <w:rFonts w:eastAsia="Times New Roman" w:hint="cs"/>
          <w:rtl/>
          <w:lang w:eastAsia="he-IL"/>
        </w:rPr>
        <w:t xml:space="preserve"> </w:t>
      </w:r>
      <w:r w:rsidR="00775ADA" w:rsidRPr="00871C2C">
        <w:rPr>
          <w:rFonts w:eastAsia="Times New Roman" w:hint="cs"/>
          <w:rtl/>
          <w:lang w:eastAsia="he-IL"/>
        </w:rPr>
        <w:t xml:space="preserve">היא </w:t>
      </w:r>
      <w:r w:rsidR="000C08C5" w:rsidRPr="00871C2C">
        <w:rPr>
          <w:rFonts w:eastAsia="Times New Roman" w:hint="cs"/>
          <w:rtl/>
          <w:lang w:eastAsia="he-IL"/>
        </w:rPr>
        <w:t xml:space="preserve">דווקא </w:t>
      </w:r>
      <w:r w:rsidR="00775ADA" w:rsidRPr="00871C2C">
        <w:rPr>
          <w:rFonts w:eastAsia="Times New Roman" w:hint="cs"/>
          <w:rtl/>
          <w:lang w:eastAsia="he-IL"/>
        </w:rPr>
        <w:t>שיפור התחרות</w:t>
      </w:r>
      <w:r w:rsidR="00224095" w:rsidRPr="00871C2C">
        <w:rPr>
          <w:rFonts w:eastAsia="Times New Roman" w:hint="cs"/>
          <w:rtl/>
          <w:lang w:eastAsia="he-IL"/>
        </w:rPr>
        <w:t>.</w:t>
      </w:r>
      <w:r w:rsidR="004B063E" w:rsidRPr="00871C2C">
        <w:rPr>
          <w:rFonts w:eastAsia="Times New Roman" w:hint="cs"/>
          <w:rtl/>
          <w:lang w:eastAsia="he-IL"/>
        </w:rPr>
        <w:t xml:space="preserve"> </w:t>
      </w:r>
    </w:p>
    <w:p w14:paraId="0FDA5A18" w14:textId="66A82C20" w:rsidR="00D24403" w:rsidRPr="00871C2C" w:rsidRDefault="00D24403" w:rsidP="00C26DF4">
      <w:pPr>
        <w:pStyle w:val="Heading1"/>
        <w:rPr>
          <w:rFonts w:eastAsia="Times New Roman"/>
          <w:rtl/>
          <w:lang w:eastAsia="he-IL"/>
        </w:rPr>
      </w:pPr>
      <w:r w:rsidRPr="00871C2C">
        <w:rPr>
          <w:rFonts w:eastAsia="Times New Roman" w:hint="cs"/>
          <w:rtl/>
          <w:lang w:eastAsia="he-IL"/>
        </w:rPr>
        <w:lastRenderedPageBreak/>
        <w:t xml:space="preserve">הסדרי </w:t>
      </w:r>
      <w:r w:rsidRPr="00871C2C">
        <w:rPr>
          <w:rFonts w:eastAsia="Times New Roman"/>
          <w:lang w:eastAsia="he-IL"/>
        </w:rPr>
        <w:t>RPM</w:t>
      </w:r>
      <w:r w:rsidRPr="00871C2C">
        <w:rPr>
          <w:rFonts w:eastAsia="Times New Roman" w:hint="cs"/>
          <w:rtl/>
          <w:lang w:eastAsia="he-IL"/>
        </w:rPr>
        <w:t xml:space="preserve"> שאינם נוגעים למקטע הקמעונאי </w:t>
      </w:r>
    </w:p>
    <w:p w14:paraId="3192089F" w14:textId="20DED54B" w:rsidR="003E468A" w:rsidRPr="00871C2C" w:rsidRDefault="009B421F" w:rsidP="00957D45">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כפי </w:t>
      </w:r>
      <w:r w:rsidR="00146FF7" w:rsidRPr="00871C2C">
        <w:rPr>
          <w:rFonts w:eastAsia="Times New Roman" w:hint="cs"/>
          <w:rtl/>
          <w:lang w:eastAsia="he-IL"/>
        </w:rPr>
        <w:t>שהוזכר לעיל</w:t>
      </w:r>
      <w:r w:rsidRPr="00871C2C">
        <w:rPr>
          <w:rFonts w:eastAsia="Times New Roman" w:hint="cs"/>
          <w:rtl/>
          <w:lang w:eastAsia="he-IL"/>
        </w:rPr>
        <w:t xml:space="preserve">, </w:t>
      </w:r>
      <w:r w:rsidR="00D24403" w:rsidRPr="00871C2C">
        <w:rPr>
          <w:rFonts w:eastAsia="Times New Roman" w:hint="cs"/>
          <w:rtl/>
          <w:lang w:eastAsia="he-IL"/>
        </w:rPr>
        <w:t xml:space="preserve">הניתוח שהוצג לעיל מתייחס להסדרים בין ספק לבין קמעונאי או גורם אחר המשווק מוצרים </w:t>
      </w:r>
      <w:r w:rsidR="003B65D7" w:rsidRPr="00871C2C">
        <w:rPr>
          <w:rFonts w:eastAsia="Times New Roman" w:hint="cs"/>
          <w:rtl/>
          <w:lang w:eastAsia="he-IL"/>
        </w:rPr>
        <w:t>ללקוח סופי</w:t>
      </w:r>
      <w:r w:rsidR="00D24403" w:rsidRPr="00871C2C">
        <w:rPr>
          <w:rFonts w:eastAsia="Times New Roman" w:hint="cs"/>
          <w:rtl/>
          <w:lang w:eastAsia="he-IL"/>
        </w:rPr>
        <w:t>. כאשר הסדר ה-</w:t>
      </w:r>
      <w:r w:rsidR="00D24403" w:rsidRPr="00871C2C">
        <w:rPr>
          <w:rFonts w:eastAsia="Times New Roman"/>
          <w:lang w:eastAsia="he-IL"/>
        </w:rPr>
        <w:t>RPM</w:t>
      </w:r>
      <w:r w:rsidR="00D24403" w:rsidRPr="00871C2C">
        <w:rPr>
          <w:rFonts w:eastAsia="Times New Roman" w:hint="cs"/>
          <w:rtl/>
          <w:lang w:eastAsia="he-IL"/>
        </w:rPr>
        <w:t xml:space="preserve"> מתקיים בין ספק לבין </w:t>
      </w:r>
      <w:r w:rsidR="00AD6396" w:rsidRPr="00871C2C">
        <w:rPr>
          <w:rFonts w:eastAsia="Times New Roman" w:hint="cs"/>
          <w:rtl/>
          <w:lang w:eastAsia="he-IL"/>
        </w:rPr>
        <w:t>מפיץ</w:t>
      </w:r>
      <w:r w:rsidR="003E468A" w:rsidRPr="00871C2C">
        <w:rPr>
          <w:rFonts w:eastAsia="Times New Roman" w:hint="cs"/>
          <w:rtl/>
          <w:lang w:eastAsia="he-IL"/>
        </w:rPr>
        <w:t>, אופן הניתוח של הסדר ה-</w:t>
      </w:r>
      <w:r w:rsidR="003E468A" w:rsidRPr="00871C2C">
        <w:rPr>
          <w:rFonts w:eastAsia="Times New Roman"/>
          <w:lang w:eastAsia="he-IL"/>
        </w:rPr>
        <w:t>RPM</w:t>
      </w:r>
      <w:r w:rsidR="003E468A" w:rsidRPr="00871C2C">
        <w:rPr>
          <w:rFonts w:eastAsia="Times New Roman" w:hint="cs"/>
          <w:rtl/>
          <w:lang w:eastAsia="he-IL"/>
        </w:rPr>
        <w:t xml:space="preserve"> יהיה תלוי בטיב הקשרים בין הספק לבין המפיץ</w:t>
      </w:r>
      <w:r w:rsidR="002B09F7" w:rsidRPr="00871C2C">
        <w:rPr>
          <w:rFonts w:eastAsia="Times New Roman" w:hint="cs"/>
          <w:rtl/>
          <w:lang w:eastAsia="he-IL"/>
        </w:rPr>
        <w:t>, כפי שנסביר עתה.</w:t>
      </w:r>
    </w:p>
    <w:p w14:paraId="76A0F9DB" w14:textId="4759531A" w:rsidR="00146FF7" w:rsidRPr="00871C2C" w:rsidRDefault="002B09F7" w:rsidP="0065388E">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נקדים ונבהיר כי הניתוח שיוצג בפרק זה רלוונטי רק </w:t>
      </w:r>
      <w:r w:rsidR="00A4244F" w:rsidRPr="00871C2C">
        <w:rPr>
          <w:rFonts w:eastAsia="Times New Roman" w:hint="cs"/>
          <w:rtl/>
          <w:lang w:eastAsia="he-IL"/>
        </w:rPr>
        <w:t>להסדרים שבין ספק לבין מפיץ ה</w:t>
      </w:r>
      <w:r w:rsidRPr="00871C2C">
        <w:rPr>
          <w:rFonts w:eastAsia="Times New Roman" w:hint="cs"/>
          <w:rtl/>
          <w:lang w:eastAsia="he-IL"/>
        </w:rPr>
        <w:t xml:space="preserve">משמש כחוליית ביניים </w:t>
      </w:r>
      <w:r w:rsidR="00A4244F" w:rsidRPr="00871C2C">
        <w:rPr>
          <w:rFonts w:eastAsia="Times New Roman" w:hint="cs"/>
          <w:rtl/>
          <w:lang w:eastAsia="he-IL"/>
        </w:rPr>
        <w:t xml:space="preserve">עצמאית </w:t>
      </w:r>
      <w:r w:rsidRPr="00871C2C">
        <w:rPr>
          <w:rFonts w:eastAsia="Times New Roman" w:hint="cs"/>
          <w:rtl/>
          <w:lang w:eastAsia="he-IL"/>
        </w:rPr>
        <w:t>בין ספק לבין קמעונאי.</w:t>
      </w:r>
      <w:r w:rsidR="00A4244F" w:rsidRPr="00871C2C">
        <w:rPr>
          <w:rFonts w:eastAsia="Times New Roman" w:hint="cs"/>
          <w:rtl/>
          <w:lang w:eastAsia="he-IL"/>
        </w:rPr>
        <w:t xml:space="preserve"> הסדר </w:t>
      </w:r>
      <w:r w:rsidR="009D4D45" w:rsidRPr="00871C2C">
        <w:rPr>
          <w:rFonts w:eastAsia="Times New Roman" w:hint="cs"/>
          <w:rtl/>
          <w:lang w:eastAsia="he-IL"/>
        </w:rPr>
        <w:t>ה-</w:t>
      </w:r>
      <w:r w:rsidR="00A4244F" w:rsidRPr="00871C2C">
        <w:rPr>
          <w:rFonts w:eastAsia="Times New Roman"/>
          <w:lang w:eastAsia="he-IL"/>
        </w:rPr>
        <w:t>RPM</w:t>
      </w:r>
      <w:r w:rsidR="00A4244F" w:rsidRPr="00871C2C">
        <w:rPr>
          <w:rFonts w:eastAsia="Times New Roman" w:hint="cs"/>
          <w:rtl/>
          <w:lang w:eastAsia="he-IL"/>
        </w:rPr>
        <w:t xml:space="preserve"> </w:t>
      </w:r>
      <w:r w:rsidR="009D4D45" w:rsidRPr="00871C2C">
        <w:rPr>
          <w:rFonts w:eastAsia="Times New Roman" w:hint="cs"/>
          <w:rtl/>
          <w:lang w:eastAsia="he-IL"/>
        </w:rPr>
        <w:t xml:space="preserve">בין </w:t>
      </w:r>
      <w:r w:rsidR="00A4244F" w:rsidRPr="00871C2C">
        <w:rPr>
          <w:rFonts w:eastAsia="Times New Roman" w:hint="cs"/>
          <w:rtl/>
          <w:lang w:eastAsia="he-IL"/>
        </w:rPr>
        <w:t xml:space="preserve">משווק לבין הקמעוני, </w:t>
      </w:r>
      <w:r w:rsidR="00146FF7" w:rsidRPr="00871C2C">
        <w:rPr>
          <w:rFonts w:eastAsia="Times New Roman" w:hint="cs"/>
          <w:rtl/>
          <w:lang w:eastAsia="he-IL"/>
        </w:rPr>
        <w:t>דינו כדין הסדר בין ספק לבין קמעונאי ו</w:t>
      </w:r>
      <w:r w:rsidR="00A4244F" w:rsidRPr="00871C2C">
        <w:rPr>
          <w:rFonts w:eastAsia="Times New Roman" w:hint="cs"/>
          <w:rtl/>
          <w:lang w:eastAsia="he-IL"/>
        </w:rPr>
        <w:t>יש לנתח אותו בהתאם לעקרונות שהותוו בפרק הקודם</w:t>
      </w:r>
      <w:r w:rsidR="00146FF7" w:rsidRPr="00871C2C">
        <w:rPr>
          <w:rFonts w:eastAsia="Times New Roman" w:hint="cs"/>
          <w:rtl/>
          <w:lang w:eastAsia="he-IL"/>
        </w:rPr>
        <w:t>. כמו כן, אם המפיץ הוא מתחרה קיים או פוטנציאלי במקטע ייצור הטובין, אזי מדובר בהסדר לו היבטים אופקיים החורגים מגילוי דעת זה.</w:t>
      </w:r>
    </w:p>
    <w:p w14:paraId="29F5251D" w14:textId="189AEC26" w:rsidR="00A4244F" w:rsidRPr="00871C2C" w:rsidRDefault="00D74FE3" w:rsidP="00E2375E">
      <w:pPr>
        <w:tabs>
          <w:tab w:val="left" w:pos="374"/>
        </w:tabs>
        <w:spacing w:before="120" w:after="120" w:line="360" w:lineRule="exact"/>
        <w:jc w:val="both"/>
        <w:rPr>
          <w:rFonts w:eastAsia="Times New Roman"/>
          <w:rtl/>
          <w:lang w:eastAsia="he-IL"/>
        </w:rPr>
      </w:pPr>
      <w:r w:rsidRPr="00871C2C">
        <w:rPr>
          <w:rFonts w:eastAsia="Times New Roman" w:hint="cs"/>
          <w:rtl/>
          <w:lang w:eastAsia="he-IL"/>
        </w:rPr>
        <w:t>הבחנה חשובה</w:t>
      </w:r>
      <w:r w:rsidR="00A4244F" w:rsidRPr="00871C2C">
        <w:rPr>
          <w:rFonts w:eastAsia="Times New Roman" w:hint="cs"/>
          <w:rtl/>
          <w:lang w:eastAsia="he-IL"/>
        </w:rPr>
        <w:t xml:space="preserve"> בין הסדרי ספק-מפיץ לבין הסדרי ספק-קמעונאי </w:t>
      </w:r>
      <w:r w:rsidRPr="00871C2C">
        <w:rPr>
          <w:rFonts w:eastAsia="Times New Roman" w:hint="cs"/>
          <w:rtl/>
          <w:lang w:eastAsia="he-IL"/>
        </w:rPr>
        <w:t>נוגעת למידת שקיפות המחירים במקטע אליו נוגע הסדר ה-</w:t>
      </w:r>
      <w:r w:rsidR="003903A5" w:rsidRPr="00871C2C">
        <w:rPr>
          <w:rFonts w:eastAsia="Times New Roman"/>
          <w:lang w:eastAsia="he-IL"/>
        </w:rPr>
        <w:t>RPM</w:t>
      </w:r>
      <w:r w:rsidR="00A4244F" w:rsidRPr="00871C2C">
        <w:rPr>
          <w:rFonts w:eastAsia="Times New Roman" w:hint="cs"/>
          <w:rtl/>
          <w:lang w:eastAsia="he-IL"/>
        </w:rPr>
        <w:t>. החשש לפגיעה בתחרות בין הספקים בדרך של הקלה על שיווי משקל מתואם רלוונטי בעיקר כאשר ה-</w:t>
      </w:r>
      <w:r w:rsidR="00A4244F" w:rsidRPr="00871C2C">
        <w:rPr>
          <w:rFonts w:eastAsia="Times New Roman"/>
          <w:lang w:eastAsia="he-IL"/>
        </w:rPr>
        <w:t>RPM</w:t>
      </w:r>
      <w:r w:rsidR="00A4244F" w:rsidRPr="00871C2C">
        <w:rPr>
          <w:rFonts w:eastAsia="Times New Roman" w:hint="cs"/>
          <w:rtl/>
          <w:lang w:eastAsia="he-IL"/>
        </w:rPr>
        <w:t xml:space="preserve"> מתייחס למחירים קמעונאיים, וזאת בשל מידת שקיפותם כלפי הספקים המתחרים. חשש זה אינו מתעורר באותה עוצמה כאשר מדובר בהסדר </w:t>
      </w:r>
      <w:r w:rsidR="00A4244F" w:rsidRPr="00871C2C">
        <w:rPr>
          <w:rFonts w:eastAsia="Times New Roman"/>
          <w:lang w:eastAsia="he-IL"/>
        </w:rPr>
        <w:t>RPM</w:t>
      </w:r>
      <w:r w:rsidR="00A4244F" w:rsidRPr="00871C2C">
        <w:rPr>
          <w:rFonts w:eastAsia="Times New Roman" w:hint="cs"/>
          <w:rtl/>
          <w:lang w:eastAsia="he-IL"/>
        </w:rPr>
        <w:t xml:space="preserve"> הנוגע למחיר הסיטונאי בלבד</w:t>
      </w:r>
      <w:r w:rsidRPr="00871C2C">
        <w:rPr>
          <w:rFonts w:eastAsia="Times New Roman" w:hint="cs"/>
          <w:rtl/>
          <w:lang w:eastAsia="he-IL"/>
        </w:rPr>
        <w:t>, שככלל אינו שקוף למתחרים של הסיטונאים</w:t>
      </w:r>
      <w:r w:rsidR="00A4244F" w:rsidRPr="00871C2C">
        <w:rPr>
          <w:rFonts w:eastAsia="Times New Roman" w:hint="cs"/>
          <w:rtl/>
          <w:lang w:eastAsia="he-IL"/>
        </w:rPr>
        <w:t>.</w:t>
      </w:r>
    </w:p>
    <w:p w14:paraId="7FC242D9" w14:textId="5C6BC68C" w:rsidR="009D4D45" w:rsidRPr="00871C2C" w:rsidRDefault="009D4D45" w:rsidP="00B5386E">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בהתחשב </w:t>
      </w:r>
      <w:r w:rsidR="00077C5E" w:rsidRPr="00871C2C">
        <w:rPr>
          <w:rFonts w:eastAsia="Times New Roman" w:hint="cs"/>
          <w:rtl/>
          <w:lang w:eastAsia="he-IL"/>
        </w:rPr>
        <w:t>ב</w:t>
      </w:r>
      <w:r w:rsidRPr="00871C2C">
        <w:rPr>
          <w:rFonts w:eastAsia="Times New Roman" w:hint="cs"/>
          <w:rtl/>
          <w:lang w:eastAsia="he-IL"/>
        </w:rPr>
        <w:t xml:space="preserve">תפקידים השונים </w:t>
      </w:r>
      <w:r w:rsidR="00B5386E" w:rsidRPr="00871C2C">
        <w:rPr>
          <w:rFonts w:eastAsia="Times New Roman" w:hint="cs"/>
          <w:rtl/>
          <w:lang w:eastAsia="he-IL"/>
        </w:rPr>
        <w:t xml:space="preserve">שמפיץ </w:t>
      </w:r>
      <w:r w:rsidRPr="00871C2C">
        <w:rPr>
          <w:rFonts w:eastAsia="Times New Roman" w:hint="cs"/>
          <w:rtl/>
          <w:lang w:eastAsia="he-IL"/>
        </w:rPr>
        <w:t xml:space="preserve">עשוי למלא בשרשרת האספקה, יש לבחון את אופי היחסים שבין הספק לבין </w:t>
      </w:r>
      <w:r w:rsidR="00B5386E" w:rsidRPr="00871C2C">
        <w:rPr>
          <w:rFonts w:eastAsia="Times New Roman" w:hint="cs"/>
          <w:rtl/>
          <w:lang w:eastAsia="he-IL"/>
        </w:rPr>
        <w:t xml:space="preserve">המפיץ </w:t>
      </w:r>
      <w:r w:rsidRPr="00871C2C">
        <w:rPr>
          <w:rFonts w:eastAsia="Times New Roman" w:hint="cs"/>
          <w:rtl/>
          <w:lang w:eastAsia="he-IL"/>
        </w:rPr>
        <w:t>בשני היבטים:</w:t>
      </w:r>
    </w:p>
    <w:p w14:paraId="1818ABDC" w14:textId="0FE31E2C" w:rsidR="00110D80" w:rsidRPr="00871C2C" w:rsidRDefault="009D4D45" w:rsidP="004D44EE">
      <w:pPr>
        <w:tabs>
          <w:tab w:val="left" w:pos="374"/>
        </w:tabs>
        <w:spacing w:before="120" w:after="120" w:line="360" w:lineRule="exact"/>
        <w:jc w:val="both"/>
        <w:rPr>
          <w:rFonts w:eastAsia="Times New Roman"/>
          <w:rtl/>
          <w:lang w:eastAsia="he-IL"/>
        </w:rPr>
      </w:pPr>
      <w:r w:rsidRPr="00871C2C">
        <w:rPr>
          <w:rFonts w:eastAsia="Times New Roman" w:hint="cs"/>
          <w:b/>
          <w:bCs/>
          <w:rtl/>
          <w:lang w:eastAsia="he-IL"/>
        </w:rPr>
        <w:t>ראשית</w:t>
      </w:r>
      <w:r w:rsidRPr="00871C2C">
        <w:rPr>
          <w:rFonts w:eastAsia="Times New Roman" w:hint="cs"/>
          <w:rtl/>
          <w:lang w:eastAsia="he-IL"/>
        </w:rPr>
        <w:t xml:space="preserve">, יש לבחון את חלוקת הסיכונים שבין הספק לבין </w:t>
      </w:r>
      <w:r w:rsidR="00B5386E" w:rsidRPr="00871C2C">
        <w:rPr>
          <w:rFonts w:eastAsia="Times New Roman" w:hint="cs"/>
          <w:rtl/>
          <w:lang w:eastAsia="he-IL"/>
        </w:rPr>
        <w:t>המפיץ</w:t>
      </w:r>
      <w:r w:rsidRPr="00871C2C">
        <w:rPr>
          <w:rFonts w:eastAsia="Times New Roman" w:hint="cs"/>
          <w:rtl/>
          <w:lang w:eastAsia="he-IL"/>
        </w:rPr>
        <w:t>. בקצה</w:t>
      </w:r>
      <w:r w:rsidR="00D74FE3" w:rsidRPr="00871C2C">
        <w:rPr>
          <w:rFonts w:eastAsia="Times New Roman" w:hint="cs"/>
          <w:rtl/>
          <w:lang w:eastAsia="he-IL"/>
        </w:rPr>
        <w:t xml:space="preserve"> מנעד האפשרויות</w:t>
      </w:r>
      <w:r w:rsidRPr="00871C2C">
        <w:rPr>
          <w:rFonts w:eastAsia="Times New Roman" w:hint="cs"/>
          <w:rtl/>
          <w:lang w:eastAsia="he-IL"/>
        </w:rPr>
        <w:t xml:space="preserve"> </w:t>
      </w:r>
      <w:r w:rsidR="00D74FE3" w:rsidRPr="00871C2C">
        <w:rPr>
          <w:rFonts w:eastAsia="Times New Roman" w:hint="cs"/>
          <w:rtl/>
          <w:lang w:eastAsia="he-IL"/>
        </w:rPr>
        <w:t xml:space="preserve">מצויים </w:t>
      </w:r>
      <w:r w:rsidRPr="00871C2C">
        <w:rPr>
          <w:rFonts w:eastAsia="Times New Roman"/>
          <w:rtl/>
          <w:lang w:eastAsia="he-IL"/>
        </w:rPr>
        <w:t>הסדרי קונסיגנציה</w:t>
      </w:r>
      <w:r w:rsidRPr="00871C2C">
        <w:rPr>
          <w:rFonts w:eastAsia="Times New Roman" w:hint="cs"/>
          <w:rtl/>
          <w:lang w:eastAsia="he-IL"/>
        </w:rPr>
        <w:t xml:space="preserve">, </w:t>
      </w:r>
      <w:r w:rsidRPr="00871C2C">
        <w:rPr>
          <w:rFonts w:eastAsia="Times New Roman"/>
          <w:rtl/>
          <w:lang w:eastAsia="he-IL"/>
        </w:rPr>
        <w:t xml:space="preserve">בהם </w:t>
      </w:r>
      <w:r w:rsidRPr="00871C2C">
        <w:rPr>
          <w:rFonts w:eastAsia="Times New Roman" w:hint="cs"/>
          <w:rtl/>
          <w:lang w:eastAsia="he-IL"/>
        </w:rPr>
        <w:t xml:space="preserve">כלל </w:t>
      </w:r>
      <w:r w:rsidRPr="00871C2C">
        <w:rPr>
          <w:rFonts w:eastAsia="Times New Roman"/>
          <w:rtl/>
          <w:lang w:eastAsia="he-IL"/>
        </w:rPr>
        <w:t xml:space="preserve">הסיכונים </w:t>
      </w:r>
      <w:r w:rsidRPr="00871C2C">
        <w:rPr>
          <w:rFonts w:eastAsia="Times New Roman" w:hint="cs"/>
          <w:rtl/>
          <w:lang w:eastAsia="he-IL"/>
        </w:rPr>
        <w:t xml:space="preserve">הנוגעים לשיווק המוצר </w:t>
      </w:r>
      <w:r w:rsidRPr="00871C2C">
        <w:rPr>
          <w:rFonts w:eastAsia="Times New Roman"/>
          <w:rtl/>
          <w:lang w:eastAsia="he-IL"/>
        </w:rPr>
        <w:t xml:space="preserve">מוטלים על הספק </w:t>
      </w:r>
      <w:r w:rsidR="00B5386E" w:rsidRPr="00871C2C">
        <w:rPr>
          <w:rFonts w:eastAsia="Times New Roman" w:hint="cs"/>
          <w:rtl/>
          <w:lang w:eastAsia="he-IL"/>
        </w:rPr>
        <w:t>והמפיץ</w:t>
      </w:r>
      <w:r w:rsidR="00B5386E" w:rsidRPr="00871C2C">
        <w:rPr>
          <w:rFonts w:eastAsia="Times New Roman"/>
          <w:rtl/>
          <w:lang w:eastAsia="he-IL"/>
        </w:rPr>
        <w:t xml:space="preserve"> </w:t>
      </w:r>
      <w:r w:rsidR="00D74FE3" w:rsidRPr="00871C2C">
        <w:rPr>
          <w:rFonts w:eastAsia="Times New Roman" w:hint="cs"/>
          <w:rtl/>
          <w:lang w:eastAsia="he-IL"/>
        </w:rPr>
        <w:t>משמש</w:t>
      </w:r>
      <w:r w:rsidRPr="00871C2C">
        <w:rPr>
          <w:rFonts w:eastAsia="Times New Roman"/>
          <w:rtl/>
          <w:lang w:eastAsia="he-IL"/>
        </w:rPr>
        <w:t xml:space="preserve"> רק </w:t>
      </w:r>
      <w:r w:rsidR="004D44EE" w:rsidRPr="00871C2C">
        <w:rPr>
          <w:rFonts w:eastAsia="Times New Roman" w:hint="cs"/>
          <w:rtl/>
          <w:lang w:eastAsia="he-IL"/>
        </w:rPr>
        <w:t>כלי ל</w:t>
      </w:r>
      <w:r w:rsidRPr="00871C2C">
        <w:rPr>
          <w:rFonts w:eastAsia="Times New Roman" w:hint="cs"/>
          <w:rtl/>
          <w:lang w:eastAsia="he-IL"/>
        </w:rPr>
        <w:t>ביצוע המכירה</w:t>
      </w:r>
      <w:r w:rsidR="00C8180C" w:rsidRPr="00871C2C">
        <w:rPr>
          <w:rFonts w:eastAsia="Times New Roman" w:hint="cs"/>
          <w:rtl/>
          <w:lang w:eastAsia="he-IL"/>
        </w:rPr>
        <w:t>;</w:t>
      </w:r>
      <w:r w:rsidRPr="00871C2C">
        <w:rPr>
          <w:rFonts w:eastAsia="Times New Roman" w:hint="cs"/>
          <w:rtl/>
          <w:lang w:eastAsia="he-IL"/>
        </w:rPr>
        <w:t xml:space="preserve"> ובקצה השני הסדר שבמסגרתו ה</w:t>
      </w:r>
      <w:r w:rsidR="00C8180C" w:rsidRPr="00871C2C">
        <w:rPr>
          <w:rFonts w:eastAsia="Times New Roman" w:hint="cs"/>
          <w:rtl/>
          <w:lang w:eastAsia="he-IL"/>
        </w:rPr>
        <w:t xml:space="preserve">ספק מוכר את הטובין </w:t>
      </w:r>
      <w:r w:rsidR="00B5386E" w:rsidRPr="00871C2C">
        <w:rPr>
          <w:rFonts w:eastAsia="Times New Roman" w:hint="cs"/>
          <w:rtl/>
          <w:lang w:eastAsia="he-IL"/>
        </w:rPr>
        <w:t>למפ</w:t>
      </w:r>
      <w:r w:rsidR="006C46C1" w:rsidRPr="00871C2C">
        <w:rPr>
          <w:rFonts w:eastAsia="Times New Roman" w:hint="cs"/>
          <w:rtl/>
          <w:lang w:eastAsia="he-IL"/>
        </w:rPr>
        <w:t>י</w:t>
      </w:r>
      <w:r w:rsidR="00B5386E" w:rsidRPr="00871C2C">
        <w:rPr>
          <w:rFonts w:eastAsia="Times New Roman" w:hint="cs"/>
          <w:rtl/>
          <w:lang w:eastAsia="he-IL"/>
        </w:rPr>
        <w:t xml:space="preserve">ץ </w:t>
      </w:r>
      <w:r w:rsidR="00C8180C" w:rsidRPr="00871C2C">
        <w:rPr>
          <w:rFonts w:eastAsia="Times New Roman" w:hint="cs"/>
          <w:rtl/>
          <w:lang w:eastAsia="he-IL"/>
        </w:rPr>
        <w:t>ויוצא</w:t>
      </w:r>
      <w:r w:rsidR="00D74FE3" w:rsidRPr="00871C2C">
        <w:rPr>
          <w:rFonts w:eastAsia="Times New Roman" w:hint="cs"/>
          <w:rtl/>
          <w:lang w:eastAsia="he-IL"/>
        </w:rPr>
        <w:t xml:space="preserve"> לחלוטין</w:t>
      </w:r>
      <w:r w:rsidR="00C8180C" w:rsidRPr="00871C2C">
        <w:rPr>
          <w:rFonts w:eastAsia="Times New Roman" w:hint="cs"/>
          <w:rtl/>
          <w:lang w:eastAsia="he-IL"/>
        </w:rPr>
        <w:t xml:space="preserve"> מהתמונה, כך ש</w:t>
      </w:r>
      <w:r w:rsidRPr="00871C2C">
        <w:rPr>
          <w:rFonts w:eastAsia="Times New Roman"/>
          <w:rtl/>
          <w:lang w:eastAsia="he-IL"/>
        </w:rPr>
        <w:t xml:space="preserve">מלוא </w:t>
      </w:r>
      <w:r w:rsidR="00C8180C" w:rsidRPr="00871C2C">
        <w:rPr>
          <w:rFonts w:eastAsia="Times New Roman" w:hint="cs"/>
          <w:rtl/>
          <w:lang w:eastAsia="he-IL"/>
        </w:rPr>
        <w:t>האחריות ל</w:t>
      </w:r>
      <w:r w:rsidR="00C8180C" w:rsidRPr="00871C2C">
        <w:rPr>
          <w:rFonts w:eastAsia="Times New Roman"/>
          <w:rtl/>
          <w:lang w:eastAsia="he-IL"/>
        </w:rPr>
        <w:t xml:space="preserve">שיווקם, קידומם ומכירתם </w:t>
      </w:r>
      <w:r w:rsidR="00C8180C" w:rsidRPr="00871C2C">
        <w:rPr>
          <w:rFonts w:eastAsia="Times New Roman" w:hint="cs"/>
          <w:rtl/>
          <w:lang w:eastAsia="he-IL"/>
        </w:rPr>
        <w:t xml:space="preserve">של המוצרים </w:t>
      </w:r>
      <w:r w:rsidR="00C8180C" w:rsidRPr="00871C2C">
        <w:rPr>
          <w:rFonts w:eastAsia="Times New Roman"/>
          <w:rtl/>
          <w:lang w:eastAsia="he-IL"/>
        </w:rPr>
        <w:t>מוטל</w:t>
      </w:r>
      <w:r w:rsidR="00C8180C" w:rsidRPr="00871C2C">
        <w:rPr>
          <w:rFonts w:eastAsia="Times New Roman" w:hint="cs"/>
          <w:rtl/>
          <w:lang w:eastAsia="he-IL"/>
        </w:rPr>
        <w:t xml:space="preserve"> על </w:t>
      </w:r>
      <w:r w:rsidR="00B5386E" w:rsidRPr="00871C2C">
        <w:rPr>
          <w:rFonts w:eastAsia="Times New Roman" w:hint="cs"/>
          <w:rtl/>
          <w:lang w:eastAsia="he-IL"/>
        </w:rPr>
        <w:t xml:space="preserve">המפיץ </w:t>
      </w:r>
      <w:r w:rsidRPr="00871C2C">
        <w:rPr>
          <w:rFonts w:eastAsia="Times New Roman"/>
          <w:rtl/>
          <w:lang w:eastAsia="he-IL"/>
        </w:rPr>
        <w:t xml:space="preserve">בלבד והוא </w:t>
      </w:r>
      <w:r w:rsidR="00C8180C" w:rsidRPr="00871C2C">
        <w:rPr>
          <w:rFonts w:eastAsia="Times New Roman" w:hint="cs"/>
          <w:rtl/>
          <w:lang w:eastAsia="he-IL"/>
        </w:rPr>
        <w:t xml:space="preserve">לבדו נושא </w:t>
      </w:r>
      <w:r w:rsidRPr="00871C2C">
        <w:rPr>
          <w:rFonts w:eastAsia="Times New Roman"/>
          <w:rtl/>
          <w:lang w:eastAsia="he-IL"/>
        </w:rPr>
        <w:t xml:space="preserve">בתוצאות העסקיות </w:t>
      </w:r>
      <w:r w:rsidR="00D74FE3" w:rsidRPr="00871C2C">
        <w:rPr>
          <w:rFonts w:eastAsia="Times New Roman" w:hint="cs"/>
          <w:rtl/>
          <w:lang w:eastAsia="he-IL"/>
        </w:rPr>
        <w:t xml:space="preserve">של </w:t>
      </w:r>
      <w:r w:rsidR="00C8180C" w:rsidRPr="00871C2C">
        <w:rPr>
          <w:rFonts w:eastAsia="Times New Roman" w:hint="cs"/>
          <w:rtl/>
          <w:lang w:eastAsia="he-IL"/>
        </w:rPr>
        <w:t xml:space="preserve">כישלונו או הצלחתו. </w:t>
      </w:r>
    </w:p>
    <w:p w14:paraId="3358B73A" w14:textId="4AFE9AAE" w:rsidR="00E063D2" w:rsidRPr="00871C2C" w:rsidRDefault="00D8240A" w:rsidP="0022531A">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ככל שהספק נוטל על עצמו חלק גדול יותר מהסיכונים הכרוכים במכירת המוצרים, הדבר מעיד </w:t>
      </w:r>
      <w:r w:rsidR="000C2AA1" w:rsidRPr="00871C2C">
        <w:rPr>
          <w:rFonts w:eastAsia="Times New Roman" w:hint="cs"/>
          <w:rtl/>
          <w:lang w:eastAsia="he-IL"/>
        </w:rPr>
        <w:t>על כך ש</w:t>
      </w:r>
      <w:r w:rsidRPr="00871C2C">
        <w:rPr>
          <w:rFonts w:eastAsia="Times New Roman" w:hint="cs"/>
          <w:rtl/>
          <w:lang w:eastAsia="he-IL"/>
        </w:rPr>
        <w:t>המפיץ אינו פועל כגורם מקבל החלטות עצמאי ובמובן זה אינו מהווה גורם בעל משמ</w:t>
      </w:r>
      <w:r w:rsidR="001062EA" w:rsidRPr="00871C2C">
        <w:rPr>
          <w:rFonts w:eastAsia="Times New Roman" w:hint="cs"/>
          <w:rtl/>
          <w:lang w:eastAsia="he-IL"/>
        </w:rPr>
        <w:t>ע</w:t>
      </w:r>
      <w:r w:rsidRPr="00871C2C">
        <w:rPr>
          <w:rFonts w:eastAsia="Times New Roman" w:hint="cs"/>
          <w:rtl/>
          <w:lang w:eastAsia="he-IL"/>
        </w:rPr>
        <w:t xml:space="preserve">ות עסקית </w:t>
      </w:r>
      <w:r w:rsidR="00AD6396" w:rsidRPr="00871C2C">
        <w:rPr>
          <w:rFonts w:eastAsia="Times New Roman" w:hint="cs"/>
          <w:rtl/>
          <w:lang w:eastAsia="he-IL"/>
        </w:rPr>
        <w:t xml:space="preserve">או תחרותית </w:t>
      </w:r>
      <w:r w:rsidRPr="00871C2C">
        <w:rPr>
          <w:rFonts w:eastAsia="Times New Roman" w:hint="cs"/>
          <w:rtl/>
          <w:lang w:eastAsia="he-IL"/>
        </w:rPr>
        <w:t>בשרשרת האספקה.</w:t>
      </w:r>
      <w:r w:rsidR="007037B6" w:rsidRPr="00871C2C">
        <w:rPr>
          <w:rStyle w:val="FootnoteReference"/>
          <w:rFonts w:eastAsia="Times New Roman"/>
          <w:rtl/>
          <w:lang w:eastAsia="he-IL"/>
        </w:rPr>
        <w:footnoteReference w:id="30"/>
      </w:r>
      <w:r w:rsidRPr="00871C2C">
        <w:rPr>
          <w:rFonts w:eastAsia="Times New Roman" w:hint="cs"/>
          <w:rtl/>
          <w:lang w:eastAsia="he-IL"/>
        </w:rPr>
        <w:t xml:space="preserve"> במקרה כזה,</w:t>
      </w:r>
      <w:r w:rsidR="00C8180C" w:rsidRPr="00871C2C">
        <w:rPr>
          <w:rFonts w:eastAsia="Times New Roman" w:hint="cs"/>
          <w:rtl/>
          <w:lang w:eastAsia="he-IL"/>
        </w:rPr>
        <w:t xml:space="preserve"> אך הגיוני ש</w:t>
      </w:r>
      <w:r w:rsidRPr="00871C2C">
        <w:rPr>
          <w:rFonts w:eastAsia="Times New Roman" w:hint="cs"/>
          <w:rtl/>
          <w:lang w:eastAsia="he-IL"/>
        </w:rPr>
        <w:t xml:space="preserve">הספק </w:t>
      </w:r>
      <w:r w:rsidR="00C8180C" w:rsidRPr="00871C2C">
        <w:rPr>
          <w:rFonts w:eastAsia="Times New Roman" w:hint="cs"/>
          <w:rtl/>
          <w:lang w:eastAsia="he-IL"/>
        </w:rPr>
        <w:t xml:space="preserve">יהיה זה שיקבל את ההחלטות העסקיות </w:t>
      </w:r>
      <w:r w:rsidR="00313EBB" w:rsidRPr="00871C2C">
        <w:rPr>
          <w:rFonts w:eastAsia="Times New Roman" w:hint="cs"/>
          <w:rtl/>
          <w:lang w:eastAsia="he-IL"/>
        </w:rPr>
        <w:t>בנוגע ל</w:t>
      </w:r>
      <w:r w:rsidR="00D74FE3" w:rsidRPr="00871C2C">
        <w:rPr>
          <w:rFonts w:eastAsia="Times New Roman" w:hint="cs"/>
          <w:rtl/>
          <w:lang w:eastAsia="he-IL"/>
        </w:rPr>
        <w:t>תנאי ה</w:t>
      </w:r>
      <w:r w:rsidR="00313EBB" w:rsidRPr="00871C2C">
        <w:rPr>
          <w:rFonts w:eastAsia="Times New Roman" w:hint="cs"/>
          <w:rtl/>
          <w:lang w:eastAsia="he-IL"/>
        </w:rPr>
        <w:t>מכירה</w:t>
      </w:r>
      <w:r w:rsidR="00C8180C" w:rsidRPr="00871C2C">
        <w:rPr>
          <w:rFonts w:eastAsia="Times New Roman" w:hint="cs"/>
          <w:rtl/>
          <w:lang w:eastAsia="he-IL"/>
        </w:rPr>
        <w:t xml:space="preserve"> </w:t>
      </w:r>
      <w:r w:rsidR="00C8180C" w:rsidRPr="00871C2C">
        <w:rPr>
          <w:rFonts w:eastAsia="Times New Roman"/>
          <w:rtl/>
          <w:lang w:eastAsia="he-IL"/>
        </w:rPr>
        <w:t>–</w:t>
      </w:r>
      <w:r w:rsidR="00C8180C" w:rsidRPr="00871C2C">
        <w:rPr>
          <w:rFonts w:eastAsia="Times New Roman" w:hint="cs"/>
          <w:rtl/>
          <w:lang w:eastAsia="he-IL"/>
        </w:rPr>
        <w:t xml:space="preserve"> </w:t>
      </w:r>
      <w:r w:rsidR="00313EBB" w:rsidRPr="00871C2C">
        <w:rPr>
          <w:rFonts w:eastAsia="Times New Roman" w:hint="cs"/>
          <w:rtl/>
          <w:lang w:eastAsia="he-IL"/>
        </w:rPr>
        <w:t xml:space="preserve">ובכלל זה </w:t>
      </w:r>
      <w:r w:rsidR="00D74FE3" w:rsidRPr="00871C2C">
        <w:rPr>
          <w:rFonts w:eastAsia="Times New Roman" w:hint="cs"/>
          <w:rtl/>
          <w:lang w:eastAsia="he-IL"/>
        </w:rPr>
        <w:t>בנוגע</w:t>
      </w:r>
      <w:r w:rsidR="00313EBB" w:rsidRPr="00871C2C">
        <w:rPr>
          <w:rFonts w:eastAsia="Times New Roman" w:hint="cs"/>
          <w:rtl/>
          <w:lang w:eastAsia="he-IL"/>
        </w:rPr>
        <w:t xml:space="preserve"> </w:t>
      </w:r>
      <w:r w:rsidR="00D74FE3" w:rsidRPr="00871C2C">
        <w:rPr>
          <w:rFonts w:eastAsia="Times New Roman" w:hint="cs"/>
          <w:rtl/>
          <w:lang w:eastAsia="he-IL"/>
        </w:rPr>
        <w:t>ל</w:t>
      </w:r>
      <w:r w:rsidR="00313EBB" w:rsidRPr="00871C2C">
        <w:rPr>
          <w:rFonts w:eastAsia="Times New Roman" w:hint="cs"/>
          <w:rtl/>
          <w:lang w:eastAsia="he-IL"/>
        </w:rPr>
        <w:t>מחיר</w:t>
      </w:r>
      <w:r w:rsidR="00512E19" w:rsidRPr="00871C2C">
        <w:rPr>
          <w:rFonts w:eastAsia="Times New Roman" w:hint="cs"/>
          <w:rtl/>
          <w:lang w:eastAsia="he-IL"/>
        </w:rPr>
        <w:t>.</w:t>
      </w:r>
      <w:r w:rsidR="00346C8C" w:rsidRPr="00871C2C">
        <w:rPr>
          <w:rStyle w:val="FootnoteReference"/>
          <w:rFonts w:eastAsia="Times New Roman"/>
          <w:rtl/>
          <w:lang w:eastAsia="he-IL"/>
        </w:rPr>
        <w:footnoteReference w:id="31"/>
      </w:r>
      <w:r w:rsidR="00C8180C" w:rsidRPr="00871C2C">
        <w:rPr>
          <w:rFonts w:eastAsia="Times New Roman" w:hint="cs"/>
          <w:rtl/>
          <w:lang w:eastAsia="he-IL"/>
        </w:rPr>
        <w:t xml:space="preserve"> </w:t>
      </w:r>
      <w:r w:rsidR="009407D5" w:rsidRPr="00871C2C">
        <w:rPr>
          <w:rFonts w:eastAsia="Times New Roman" w:hint="cs"/>
          <w:rtl/>
          <w:lang w:eastAsia="he-IL"/>
        </w:rPr>
        <w:t xml:space="preserve">לפיכך, </w:t>
      </w:r>
      <w:r w:rsidR="00EF1CB3" w:rsidRPr="00871C2C">
        <w:rPr>
          <w:rFonts w:eastAsia="Times New Roman" w:hint="cs"/>
          <w:rtl/>
          <w:lang w:eastAsia="he-IL"/>
        </w:rPr>
        <w:t xml:space="preserve">ככלל </w:t>
      </w:r>
      <w:r w:rsidR="00095F7D" w:rsidRPr="00871C2C">
        <w:rPr>
          <w:rFonts w:eastAsia="Times New Roman" w:hint="cs"/>
          <w:rtl/>
          <w:lang w:eastAsia="he-IL"/>
        </w:rPr>
        <w:lastRenderedPageBreak/>
        <w:t xml:space="preserve">הסדר </w:t>
      </w:r>
      <w:r w:rsidR="003903A5" w:rsidRPr="00871C2C">
        <w:rPr>
          <w:rFonts w:eastAsia="Times New Roman"/>
          <w:lang w:eastAsia="he-IL"/>
        </w:rPr>
        <w:t>RPM</w:t>
      </w:r>
      <w:r w:rsidR="00095F7D" w:rsidRPr="00871C2C">
        <w:rPr>
          <w:rFonts w:eastAsia="Times New Roman" w:hint="cs"/>
          <w:rtl/>
          <w:lang w:eastAsia="he-IL"/>
        </w:rPr>
        <w:t xml:space="preserve"> שבין ספק לבין </w:t>
      </w:r>
      <w:r w:rsidR="009E1ACE" w:rsidRPr="00871C2C">
        <w:rPr>
          <w:rFonts w:eastAsia="Times New Roman" w:hint="cs"/>
          <w:rtl/>
          <w:lang w:eastAsia="he-IL"/>
        </w:rPr>
        <w:t xml:space="preserve">מפיץ </w:t>
      </w:r>
      <w:r w:rsidR="00095F7D" w:rsidRPr="00871C2C">
        <w:rPr>
          <w:rFonts w:eastAsia="Times New Roman" w:hint="cs"/>
          <w:rtl/>
          <w:lang w:eastAsia="he-IL"/>
        </w:rPr>
        <w:t xml:space="preserve">ייחשב </w:t>
      </w:r>
      <w:r w:rsidR="002B3DF7" w:rsidRPr="00871C2C">
        <w:rPr>
          <w:rFonts w:eastAsia="Times New Roman" w:hint="cs"/>
          <w:rtl/>
          <w:lang w:eastAsia="he-IL"/>
        </w:rPr>
        <w:t xml:space="preserve">לגיטימי </w:t>
      </w:r>
      <w:r w:rsidR="00095F7D" w:rsidRPr="00871C2C">
        <w:rPr>
          <w:rFonts w:eastAsia="Times New Roman" w:hint="cs"/>
          <w:rtl/>
          <w:lang w:eastAsia="he-IL"/>
        </w:rPr>
        <w:t>במקרה שבו הספק נושא בחלק הארי של הסיכונים הכרוכים בשיווק המוצרים.</w:t>
      </w:r>
    </w:p>
    <w:p w14:paraId="60EF706E" w14:textId="2480D35D" w:rsidR="00375612" w:rsidRPr="00871C2C" w:rsidRDefault="00817EE1" w:rsidP="0022531A">
      <w:pPr>
        <w:tabs>
          <w:tab w:val="left" w:pos="374"/>
        </w:tabs>
        <w:spacing w:before="120" w:after="120" w:line="360" w:lineRule="exact"/>
        <w:jc w:val="both"/>
        <w:rPr>
          <w:rFonts w:eastAsia="Times New Roman"/>
          <w:b/>
          <w:bCs/>
          <w:rtl/>
          <w:lang w:eastAsia="he-IL"/>
        </w:rPr>
      </w:pPr>
      <w:r w:rsidRPr="00871C2C">
        <w:rPr>
          <w:rFonts w:eastAsia="Times New Roman" w:hint="cs"/>
          <w:rtl/>
          <w:lang w:eastAsia="he-IL"/>
        </w:rPr>
        <w:t xml:space="preserve">על סמך היגיון דומה, גם פטורי הסוג להסכמי רכישה בלעדית ולהסכמי הפצה בלעדית התירו להתקשר בהסדרי </w:t>
      </w:r>
      <w:r w:rsidRPr="00871C2C">
        <w:rPr>
          <w:rFonts w:eastAsia="Times New Roman"/>
          <w:lang w:eastAsia="he-IL"/>
        </w:rPr>
        <w:t>RPM</w:t>
      </w:r>
      <w:r w:rsidRPr="00871C2C">
        <w:rPr>
          <w:rFonts w:eastAsia="Times New Roman" w:hint="cs"/>
          <w:rtl/>
          <w:lang w:eastAsia="he-IL"/>
        </w:rPr>
        <w:t xml:space="preserve"> עם סוכן בלעדי, ובלבד שהסוכן אינו "סוכן עצמאי" (ראו סעיף 4א(ב) לכל אחד מפטורי הסוג). לעניין זה, "סוכן עצמאי" מוגדר כסוכן "שהוא צד להסכם סוכנות בלעדית שביצועו דורש ממנו השקעות משמעותיות ומיוחדות להסכם או נטילת סיכונים משמעותיים ומיוחדים להסכם". </w:t>
      </w:r>
    </w:p>
    <w:p w14:paraId="76D193C5" w14:textId="55858474" w:rsidR="009D4D45" w:rsidRPr="00871C2C" w:rsidRDefault="00512E19" w:rsidP="00C46E13">
      <w:pPr>
        <w:tabs>
          <w:tab w:val="left" w:pos="374"/>
        </w:tabs>
        <w:spacing w:before="120" w:after="120" w:line="360" w:lineRule="exact"/>
        <w:jc w:val="both"/>
        <w:rPr>
          <w:rFonts w:eastAsia="Times New Roman"/>
          <w:rtl/>
          <w:lang w:eastAsia="he-IL"/>
        </w:rPr>
      </w:pPr>
      <w:r w:rsidRPr="00871C2C">
        <w:rPr>
          <w:rFonts w:eastAsia="Times New Roman" w:hint="cs"/>
          <w:b/>
          <w:bCs/>
          <w:rtl/>
          <w:lang w:eastAsia="he-IL"/>
        </w:rPr>
        <w:t>שנית</w:t>
      </w:r>
      <w:r w:rsidRPr="00871C2C">
        <w:rPr>
          <w:rFonts w:eastAsia="Times New Roman" w:hint="cs"/>
          <w:rtl/>
          <w:lang w:eastAsia="he-IL"/>
        </w:rPr>
        <w:t xml:space="preserve">, יש לבחון האם </w:t>
      </w:r>
      <w:r w:rsidR="009E1ACE" w:rsidRPr="00871C2C">
        <w:rPr>
          <w:rFonts w:eastAsia="Times New Roman" w:hint="cs"/>
          <w:rtl/>
          <w:lang w:eastAsia="he-IL"/>
        </w:rPr>
        <w:t xml:space="preserve">המפיץ </w:t>
      </w:r>
      <w:r w:rsidRPr="00871C2C">
        <w:rPr>
          <w:rFonts w:eastAsia="Times New Roman" w:hint="cs"/>
          <w:rtl/>
          <w:lang w:eastAsia="he-IL"/>
        </w:rPr>
        <w:t>פועל כ"</w:t>
      </w:r>
      <w:r w:rsidR="009D4D45" w:rsidRPr="00871C2C">
        <w:rPr>
          <w:rFonts w:eastAsia="Times New Roman" w:hint="cs"/>
          <w:rtl/>
          <w:lang w:eastAsia="he-IL"/>
        </w:rPr>
        <w:t xml:space="preserve">זרועו הארוכה" של הספק, </w:t>
      </w:r>
      <w:r w:rsidR="00313EBB" w:rsidRPr="00871C2C">
        <w:rPr>
          <w:rFonts w:eastAsia="Times New Roman" w:hint="cs"/>
          <w:rtl/>
          <w:lang w:eastAsia="he-IL"/>
        </w:rPr>
        <w:t xml:space="preserve">במובן זה </w:t>
      </w:r>
      <w:r w:rsidRPr="00871C2C">
        <w:rPr>
          <w:rFonts w:eastAsia="Times New Roman" w:hint="cs"/>
          <w:rtl/>
          <w:lang w:eastAsia="he-IL"/>
        </w:rPr>
        <w:t xml:space="preserve">שהוא ממילא אינו צפוי לחולל </w:t>
      </w:r>
      <w:r w:rsidR="009E1ACE" w:rsidRPr="00871C2C">
        <w:rPr>
          <w:rFonts w:eastAsia="Times New Roman" w:hint="cs"/>
          <w:rtl/>
          <w:lang w:eastAsia="he-IL"/>
        </w:rPr>
        <w:t xml:space="preserve">תחרות </w:t>
      </w:r>
      <w:r w:rsidRPr="00871C2C">
        <w:rPr>
          <w:rFonts w:eastAsia="Times New Roman" w:hint="cs"/>
          <w:rtl/>
          <w:lang w:eastAsia="he-IL"/>
        </w:rPr>
        <w:t xml:space="preserve">תוך-מותגית במקטע המשווקים. </w:t>
      </w:r>
      <w:r w:rsidR="00110D80" w:rsidRPr="00871C2C">
        <w:rPr>
          <w:rFonts w:eastAsia="Times New Roman" w:hint="cs"/>
          <w:rtl/>
          <w:lang w:eastAsia="he-IL"/>
        </w:rPr>
        <w:t xml:space="preserve">מפיץ ייחשב כזרועו הארוכה של הספק </w:t>
      </w:r>
      <w:r w:rsidRPr="00871C2C">
        <w:rPr>
          <w:rFonts w:eastAsia="Times New Roman" w:hint="cs"/>
          <w:rtl/>
          <w:lang w:eastAsia="he-IL"/>
        </w:rPr>
        <w:t>במקרים בהם קיימת בלעדיות הדדית בין הספק לבין המפיץ בשיווק והפצה,</w:t>
      </w:r>
      <w:r w:rsidR="00110D80" w:rsidRPr="00871C2C">
        <w:rPr>
          <w:rFonts w:eastAsia="Times New Roman" w:hint="cs"/>
          <w:rtl/>
          <w:lang w:eastAsia="he-IL"/>
        </w:rPr>
        <w:t xml:space="preserve"> כמו גם במקרים נוספים</w:t>
      </w:r>
      <w:r w:rsidRPr="00871C2C">
        <w:rPr>
          <w:rFonts w:eastAsia="Times New Roman" w:hint="cs"/>
          <w:rtl/>
          <w:lang w:eastAsia="he-IL"/>
        </w:rPr>
        <w:t xml:space="preserve"> (כגון בלעדיות בהפצה בלבד). במקרים אלה, התחרות התוך-מותגית במקטע השיווק וההפצה ממילא </w:t>
      </w:r>
      <w:r w:rsidR="00744B94" w:rsidRPr="00871C2C">
        <w:rPr>
          <w:rFonts w:eastAsia="Times New Roman" w:hint="cs"/>
          <w:rtl/>
          <w:lang w:eastAsia="he-IL"/>
        </w:rPr>
        <w:t>מוגבלת ביותר</w:t>
      </w:r>
      <w:r w:rsidR="00346C8C" w:rsidRPr="00871C2C">
        <w:rPr>
          <w:rFonts w:eastAsia="Times New Roman" w:hint="cs"/>
          <w:rtl/>
          <w:lang w:eastAsia="he-IL"/>
        </w:rPr>
        <w:t>; לפיכך, בהנחה שעצם הסדר הבלעדיות אינו פוגע בתחרות, לא צפויה להיות להסדר ה-</w:t>
      </w:r>
      <w:r w:rsidR="00C46E13" w:rsidRPr="00871C2C">
        <w:rPr>
          <w:rFonts w:eastAsia="Times New Roman"/>
          <w:lang w:eastAsia="he-IL"/>
        </w:rPr>
        <w:t>RPM</w:t>
      </w:r>
      <w:r w:rsidR="00313EBB" w:rsidRPr="00871C2C">
        <w:rPr>
          <w:rFonts w:eastAsia="Times New Roman" w:hint="cs"/>
          <w:rtl/>
          <w:lang w:eastAsia="he-IL"/>
        </w:rPr>
        <w:t xml:space="preserve"> כל </w:t>
      </w:r>
      <w:r w:rsidR="00346C8C" w:rsidRPr="00871C2C">
        <w:rPr>
          <w:rFonts w:eastAsia="Times New Roman" w:hint="cs"/>
          <w:rtl/>
          <w:lang w:eastAsia="he-IL"/>
        </w:rPr>
        <w:t xml:space="preserve">השפעה </w:t>
      </w:r>
      <w:r w:rsidR="00110D80" w:rsidRPr="00871C2C">
        <w:rPr>
          <w:rFonts w:eastAsia="Times New Roman" w:hint="cs"/>
          <w:rtl/>
          <w:lang w:eastAsia="he-IL"/>
        </w:rPr>
        <w:t>תוספתית</w:t>
      </w:r>
      <w:r w:rsidR="00346C8C" w:rsidRPr="00871C2C">
        <w:rPr>
          <w:rFonts w:eastAsia="Times New Roman" w:hint="cs"/>
          <w:rtl/>
          <w:lang w:eastAsia="he-IL"/>
        </w:rPr>
        <w:t xml:space="preserve"> שלילית.</w:t>
      </w:r>
      <w:r w:rsidR="00F333EB" w:rsidRPr="00871C2C">
        <w:rPr>
          <w:rStyle w:val="FootnoteReference"/>
          <w:rFonts w:eastAsia="Times New Roman"/>
          <w:rtl/>
          <w:lang w:eastAsia="he-IL"/>
        </w:rPr>
        <w:footnoteReference w:id="32"/>
      </w:r>
      <w:r w:rsidR="00346C8C" w:rsidRPr="00871C2C">
        <w:rPr>
          <w:rFonts w:eastAsia="Times New Roman" w:hint="cs"/>
          <w:rtl/>
          <w:lang w:eastAsia="he-IL"/>
        </w:rPr>
        <w:t xml:space="preserve"> </w:t>
      </w:r>
    </w:p>
    <w:p w14:paraId="0FFA644A" w14:textId="7D395B91" w:rsidR="00D4662B" w:rsidRPr="00871C2C" w:rsidRDefault="00313EBB" w:rsidP="00C32A12">
      <w:pPr>
        <w:tabs>
          <w:tab w:val="left" w:pos="374"/>
        </w:tabs>
        <w:spacing w:before="120" w:after="120" w:line="360" w:lineRule="exact"/>
        <w:jc w:val="both"/>
        <w:rPr>
          <w:rFonts w:eastAsia="Times New Roman"/>
          <w:rtl/>
          <w:lang w:eastAsia="he-IL"/>
        </w:rPr>
      </w:pPr>
      <w:r w:rsidRPr="00871C2C">
        <w:rPr>
          <w:rFonts w:eastAsia="Times New Roman" w:hint="cs"/>
          <w:rtl/>
          <w:lang w:eastAsia="he-IL"/>
        </w:rPr>
        <w:t>משכך</w:t>
      </w:r>
      <w:r w:rsidR="00077C5E" w:rsidRPr="00871C2C">
        <w:rPr>
          <w:rFonts w:eastAsia="Times New Roman" w:hint="cs"/>
          <w:rtl/>
          <w:lang w:eastAsia="he-IL"/>
        </w:rPr>
        <w:t xml:space="preserve">, הסדר </w:t>
      </w:r>
      <w:r w:rsidR="00077C5E" w:rsidRPr="00871C2C">
        <w:rPr>
          <w:rFonts w:eastAsia="Times New Roman"/>
          <w:lang w:eastAsia="he-IL"/>
        </w:rPr>
        <w:t>RPM</w:t>
      </w:r>
      <w:r w:rsidR="00077C5E" w:rsidRPr="00871C2C">
        <w:rPr>
          <w:rFonts w:eastAsia="Times New Roman" w:hint="cs"/>
          <w:rtl/>
          <w:lang w:eastAsia="he-IL"/>
        </w:rPr>
        <w:t xml:space="preserve"> </w:t>
      </w:r>
      <w:r w:rsidRPr="00871C2C">
        <w:rPr>
          <w:rFonts w:eastAsia="Times New Roman" w:hint="cs"/>
          <w:rtl/>
          <w:lang w:eastAsia="he-IL"/>
        </w:rPr>
        <w:t xml:space="preserve">עם מפיץ </w:t>
      </w:r>
      <w:r w:rsidR="00077C5E" w:rsidRPr="00871C2C">
        <w:rPr>
          <w:rFonts w:eastAsia="Times New Roman" w:hint="cs"/>
          <w:rtl/>
          <w:lang w:eastAsia="he-IL"/>
        </w:rPr>
        <w:t xml:space="preserve">שאינו </w:t>
      </w:r>
      <w:r w:rsidRPr="00871C2C">
        <w:rPr>
          <w:rFonts w:eastAsia="Times New Roman" w:hint="cs"/>
          <w:rtl/>
          <w:lang w:eastAsia="he-IL"/>
        </w:rPr>
        <w:t xml:space="preserve">מוכר לצרכן הסופי </w:t>
      </w:r>
      <w:r w:rsidR="00C32A12" w:rsidRPr="00871C2C">
        <w:rPr>
          <w:rFonts w:eastAsia="Times New Roman" w:hint="cs"/>
          <w:rtl/>
          <w:lang w:eastAsia="he-IL"/>
        </w:rPr>
        <w:t>אינו בגדר הסדר כובל כאשר הספק נושא בחלק הארי של הסיכונים הכרוכים בשיווק המוצר או</w:t>
      </w:r>
      <w:r w:rsidR="0022531A">
        <w:rPr>
          <w:rFonts w:eastAsia="Times New Roman" w:hint="cs"/>
          <w:rtl/>
          <w:lang w:eastAsia="he-IL"/>
        </w:rPr>
        <w:t xml:space="preserve"> כאשר המפיץ</w:t>
      </w:r>
      <w:r w:rsidR="00C32A12" w:rsidRPr="00871C2C">
        <w:rPr>
          <w:rFonts w:eastAsia="Times New Roman" w:hint="cs"/>
          <w:rtl/>
          <w:lang w:eastAsia="he-IL"/>
        </w:rPr>
        <w:t xml:space="preserve"> משמש כזרועו הארוכה של הספק. </w:t>
      </w:r>
    </w:p>
    <w:p w14:paraId="57F40B17" w14:textId="77777777" w:rsidR="00E7597B" w:rsidRPr="00871C2C" w:rsidRDefault="00053BDD" w:rsidP="00CB6389">
      <w:pPr>
        <w:pStyle w:val="Heading1"/>
        <w:rPr>
          <w:rFonts w:eastAsia="Times New Roman"/>
          <w:lang w:eastAsia="he-IL"/>
        </w:rPr>
      </w:pPr>
      <w:r w:rsidRPr="00871C2C">
        <w:rPr>
          <w:rFonts w:eastAsia="Times New Roman" w:hint="cs"/>
          <w:rtl/>
          <w:lang w:eastAsia="he-IL"/>
        </w:rPr>
        <w:t>הסדרי הכתבת מחיר אנכית אחרים</w:t>
      </w:r>
    </w:p>
    <w:p w14:paraId="485A51B7" w14:textId="567EF47F" w:rsidR="00F0743B" w:rsidRPr="00871C2C" w:rsidRDefault="00F0743B" w:rsidP="00F50A0C">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עד כה התמקדנו בהסדרי </w:t>
      </w:r>
      <w:r w:rsidRPr="00871C2C">
        <w:rPr>
          <w:rFonts w:eastAsia="Times New Roman"/>
          <w:lang w:eastAsia="he-IL"/>
        </w:rPr>
        <w:t>RPM minimum</w:t>
      </w:r>
      <w:r w:rsidRPr="00871C2C">
        <w:rPr>
          <w:rFonts w:eastAsia="Times New Roman" w:hint="cs"/>
          <w:rtl/>
          <w:lang w:eastAsia="he-IL"/>
        </w:rPr>
        <w:t xml:space="preserve"> או </w:t>
      </w:r>
      <w:r w:rsidRPr="00871C2C">
        <w:rPr>
          <w:rFonts w:eastAsia="Times New Roman"/>
          <w:lang w:eastAsia="he-IL"/>
        </w:rPr>
        <w:t>RPM fixed</w:t>
      </w:r>
      <w:r w:rsidRPr="00871C2C">
        <w:rPr>
          <w:rFonts w:eastAsia="Times New Roman" w:hint="cs"/>
          <w:rtl/>
          <w:lang w:eastAsia="he-IL"/>
        </w:rPr>
        <w:t xml:space="preserve"> </w:t>
      </w:r>
      <w:r w:rsidR="003254BF" w:rsidRPr="00871C2C">
        <w:rPr>
          <w:rFonts w:eastAsia="Times New Roman" w:hint="cs"/>
          <w:rtl/>
          <w:lang w:eastAsia="he-IL"/>
        </w:rPr>
        <w:t>שבין ספקים לבין קמעונאים</w:t>
      </w:r>
      <w:r w:rsidR="00DE5CB9" w:rsidRPr="00871C2C">
        <w:rPr>
          <w:rFonts w:eastAsia="Times New Roman" w:hint="cs"/>
          <w:rtl/>
          <w:lang w:eastAsia="he-IL"/>
        </w:rPr>
        <w:t xml:space="preserve"> ומפיצים</w:t>
      </w:r>
      <w:r w:rsidRPr="00871C2C">
        <w:rPr>
          <w:rFonts w:eastAsia="Times New Roman" w:hint="cs"/>
          <w:rtl/>
          <w:lang w:eastAsia="he-IL"/>
        </w:rPr>
        <w:t xml:space="preserve">. </w:t>
      </w:r>
      <w:r w:rsidR="00FE1BEA" w:rsidRPr="00871C2C">
        <w:rPr>
          <w:rFonts w:eastAsia="Times New Roman" w:hint="cs"/>
          <w:rtl/>
          <w:lang w:eastAsia="he-IL"/>
        </w:rPr>
        <w:t xml:space="preserve">בפרק זה נתייחס בקצרה למספר מקרים אחרים קשורים: </w:t>
      </w:r>
    </w:p>
    <w:p w14:paraId="7462EB09" w14:textId="77777777" w:rsidR="00030A84" w:rsidRPr="00871C2C" w:rsidRDefault="00030A84" w:rsidP="00030A84">
      <w:pPr>
        <w:tabs>
          <w:tab w:val="left" w:pos="374"/>
        </w:tabs>
        <w:spacing w:before="120" w:after="120" w:line="360" w:lineRule="exact"/>
        <w:jc w:val="both"/>
        <w:rPr>
          <w:rFonts w:eastAsia="Times New Roman"/>
          <w:u w:val="single"/>
          <w:rtl/>
          <w:lang w:eastAsia="he-IL"/>
        </w:rPr>
      </w:pPr>
      <w:r w:rsidRPr="00871C2C">
        <w:rPr>
          <w:rFonts w:eastAsia="Times New Roman"/>
          <w:u w:val="single"/>
          <w:rtl/>
          <w:lang w:eastAsia="he-IL"/>
        </w:rPr>
        <w:t>המלצת מחיר</w:t>
      </w:r>
    </w:p>
    <w:p w14:paraId="366346A3" w14:textId="1C7AC024" w:rsidR="00D306BF" w:rsidRPr="00871C2C" w:rsidRDefault="00030A84" w:rsidP="00CD407F">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במקום להתקשר בהסדר </w:t>
      </w:r>
      <w:r w:rsidRPr="00871C2C">
        <w:rPr>
          <w:rFonts w:eastAsia="Times New Roman"/>
          <w:lang w:eastAsia="he-IL"/>
        </w:rPr>
        <w:t>RPM</w:t>
      </w:r>
      <w:r w:rsidRPr="00871C2C">
        <w:rPr>
          <w:rFonts w:eastAsia="Times New Roman" w:hint="cs"/>
          <w:rtl/>
          <w:lang w:eastAsia="he-IL"/>
        </w:rPr>
        <w:t>, ספק עשוי להמליץ לקמעונאים או למפיצים על המחיר שיגבו</w:t>
      </w:r>
      <w:r w:rsidR="00C84635" w:rsidRPr="00871C2C">
        <w:rPr>
          <w:rFonts w:eastAsia="Times New Roman" w:hint="cs"/>
          <w:rtl/>
          <w:lang w:eastAsia="he-IL"/>
        </w:rPr>
        <w:t xml:space="preserve"> עבור מוצריו</w:t>
      </w:r>
      <w:r w:rsidRPr="00871C2C">
        <w:rPr>
          <w:rFonts w:eastAsia="Times New Roman" w:hint="cs"/>
          <w:rtl/>
          <w:lang w:eastAsia="he-IL"/>
        </w:rPr>
        <w:t xml:space="preserve">. המלצה כאמור אינה מעלה חשש לפגיעה בתחרות, כל עוד </w:t>
      </w:r>
      <w:r w:rsidR="00821081" w:rsidRPr="00871C2C">
        <w:rPr>
          <w:rFonts w:eastAsia="Times New Roman" w:hint="cs"/>
          <w:rtl/>
          <w:lang w:eastAsia="he-IL"/>
        </w:rPr>
        <w:t>מדובר בהמלצה</w:t>
      </w:r>
      <w:r w:rsidR="00077C5E" w:rsidRPr="00871C2C">
        <w:rPr>
          <w:rFonts w:eastAsia="Times New Roman" w:hint="cs"/>
          <w:rtl/>
          <w:lang w:eastAsia="he-IL"/>
        </w:rPr>
        <w:t xml:space="preserve"> "טהורה"</w:t>
      </w:r>
      <w:r w:rsidR="00D306BF" w:rsidRPr="00871C2C">
        <w:rPr>
          <w:rFonts w:eastAsia="Times New Roman" w:hint="cs"/>
          <w:rtl/>
          <w:lang w:eastAsia="he-IL"/>
        </w:rPr>
        <w:t xml:space="preserve"> </w:t>
      </w:r>
      <w:r w:rsidR="00D306BF" w:rsidRPr="00871C2C">
        <w:rPr>
          <w:rFonts w:eastAsia="Times New Roman"/>
          <w:rtl/>
          <w:lang w:eastAsia="he-IL"/>
        </w:rPr>
        <w:t>–</w:t>
      </w:r>
      <w:r w:rsidR="00D306BF" w:rsidRPr="00871C2C">
        <w:rPr>
          <w:rFonts w:eastAsia="Times New Roman" w:hint="cs"/>
          <w:rtl/>
          <w:lang w:eastAsia="he-IL"/>
        </w:rPr>
        <w:t xml:space="preserve"> היינו, המלצה שאינה תולדה של הסכמה מפורשת או משתמעת בין הצדדים, </w:t>
      </w:r>
      <w:r w:rsidR="00110D80" w:rsidRPr="00871C2C">
        <w:rPr>
          <w:rFonts w:eastAsia="Times New Roman" w:hint="cs"/>
          <w:rtl/>
          <w:lang w:eastAsia="he-IL"/>
        </w:rPr>
        <w:t xml:space="preserve">וכזו </w:t>
      </w:r>
      <w:r w:rsidR="00D306BF" w:rsidRPr="00871C2C">
        <w:rPr>
          <w:rFonts w:eastAsia="Times New Roman" w:hint="cs"/>
          <w:rtl/>
          <w:lang w:eastAsia="he-IL"/>
        </w:rPr>
        <w:t xml:space="preserve">שהקמעונאים או המפיצים </w:t>
      </w:r>
      <w:r w:rsidR="00110D80" w:rsidRPr="00871C2C">
        <w:rPr>
          <w:rFonts w:eastAsia="Times New Roman" w:hint="cs"/>
          <w:rtl/>
          <w:lang w:eastAsia="he-IL"/>
        </w:rPr>
        <w:t>חופשיים</w:t>
      </w:r>
      <w:r w:rsidR="00D306BF" w:rsidRPr="00871C2C">
        <w:rPr>
          <w:rFonts w:eastAsia="Times New Roman" w:hint="cs"/>
          <w:rtl/>
          <w:lang w:eastAsia="he-IL"/>
        </w:rPr>
        <w:t xml:space="preserve"> לסטות ממנה וש</w:t>
      </w:r>
      <w:r w:rsidR="00CD407F" w:rsidRPr="00871C2C">
        <w:rPr>
          <w:rFonts w:eastAsia="Times New Roman" w:hint="cs"/>
          <w:rtl/>
          <w:lang w:eastAsia="he-IL"/>
        </w:rPr>
        <w:t xml:space="preserve">לא </w:t>
      </w:r>
      <w:r w:rsidR="00D306BF" w:rsidRPr="00871C2C">
        <w:rPr>
          <w:rFonts w:eastAsia="Times New Roman" w:hint="cs"/>
          <w:rtl/>
          <w:lang w:eastAsia="he-IL"/>
        </w:rPr>
        <w:t>קיימת צפייה ש</w:t>
      </w:r>
      <w:r w:rsidR="00CD407F" w:rsidRPr="00871C2C">
        <w:rPr>
          <w:rFonts w:eastAsia="Times New Roman" w:hint="cs"/>
          <w:rtl/>
          <w:lang w:eastAsia="he-IL"/>
        </w:rPr>
        <w:t xml:space="preserve">יימנעו מלעשות </w:t>
      </w:r>
      <w:r w:rsidR="00D306BF" w:rsidRPr="00871C2C">
        <w:rPr>
          <w:rFonts w:eastAsia="Times New Roman" w:hint="cs"/>
          <w:rtl/>
          <w:lang w:eastAsia="he-IL"/>
        </w:rPr>
        <w:t>כן</w:t>
      </w:r>
      <w:r w:rsidR="00077C5E" w:rsidRPr="00871C2C">
        <w:rPr>
          <w:rFonts w:eastAsia="Times New Roman" w:hint="cs"/>
          <w:rtl/>
          <w:lang w:eastAsia="he-IL"/>
        </w:rPr>
        <w:t>. אם עולה אינדיקציה כי ה"המלצה" לכאורה אינה באמת המלצה</w:t>
      </w:r>
      <w:r w:rsidR="00110D80" w:rsidRPr="00871C2C">
        <w:rPr>
          <w:rFonts w:eastAsia="Times New Roman" w:hint="cs"/>
          <w:rtl/>
          <w:lang w:eastAsia="he-IL"/>
        </w:rPr>
        <w:t>,</w:t>
      </w:r>
      <w:r w:rsidR="00077C5E" w:rsidRPr="00871C2C">
        <w:rPr>
          <w:rFonts w:eastAsia="Times New Roman" w:hint="cs"/>
          <w:rtl/>
          <w:lang w:eastAsia="he-IL"/>
        </w:rPr>
        <w:t xml:space="preserve"> אלא מסווה להכתבת מחיר, אזי לא יהיה כל הבדל בינ</w:t>
      </w:r>
      <w:r w:rsidR="00110D80" w:rsidRPr="00871C2C">
        <w:rPr>
          <w:rFonts w:eastAsia="Times New Roman" w:hint="cs"/>
          <w:rtl/>
          <w:lang w:eastAsia="he-IL"/>
        </w:rPr>
        <w:t>ה</w:t>
      </w:r>
      <w:r w:rsidR="00077C5E" w:rsidRPr="00871C2C">
        <w:rPr>
          <w:rFonts w:eastAsia="Times New Roman" w:hint="cs"/>
          <w:rtl/>
          <w:lang w:eastAsia="he-IL"/>
        </w:rPr>
        <w:t xml:space="preserve"> לבין כל הסדר </w:t>
      </w:r>
      <w:r w:rsidR="00077C5E" w:rsidRPr="00871C2C">
        <w:t>RPM</w:t>
      </w:r>
      <w:r w:rsidR="00077C5E" w:rsidRPr="00871C2C">
        <w:rPr>
          <w:rFonts w:eastAsia="Times New Roman" w:hint="cs"/>
          <w:rtl/>
          <w:lang w:eastAsia="he-IL"/>
        </w:rPr>
        <w:t xml:space="preserve"> אחר, ויש</w:t>
      </w:r>
      <w:r w:rsidR="00D306BF" w:rsidRPr="00871C2C">
        <w:rPr>
          <w:rFonts w:eastAsia="Times New Roman" w:hint="cs"/>
          <w:rtl/>
          <w:lang w:eastAsia="he-IL"/>
        </w:rPr>
        <w:t xml:space="preserve"> לבחו</w:t>
      </w:r>
      <w:r w:rsidR="00110D80" w:rsidRPr="00871C2C">
        <w:rPr>
          <w:rFonts w:eastAsia="Times New Roman" w:hint="cs"/>
          <w:rtl/>
          <w:lang w:eastAsia="he-IL"/>
        </w:rPr>
        <w:t>ן אותה</w:t>
      </w:r>
      <w:r w:rsidR="00D306BF" w:rsidRPr="00871C2C">
        <w:rPr>
          <w:rFonts w:eastAsia="Times New Roman" w:hint="cs"/>
          <w:rtl/>
          <w:lang w:eastAsia="he-IL"/>
        </w:rPr>
        <w:t xml:space="preserve"> בהתאם לעקרונות שתוארו לעיל. </w:t>
      </w:r>
    </w:p>
    <w:p w14:paraId="0EF9D335" w14:textId="656A8A05" w:rsidR="009737CA" w:rsidRDefault="00D306BF" w:rsidP="0075703D">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על מנת לקבוע האם מדובר בהמלצה טהורה או בהכתבת מחיר, קודם כל יש לבחון את מידת </w:t>
      </w:r>
      <w:r w:rsidR="002C7059" w:rsidRPr="00871C2C">
        <w:rPr>
          <w:rFonts w:eastAsia="Times New Roman" w:hint="cs"/>
          <w:rtl/>
          <w:lang w:eastAsia="he-IL"/>
        </w:rPr>
        <w:t>ה</w:t>
      </w:r>
      <w:r w:rsidR="00110D80" w:rsidRPr="00871C2C">
        <w:rPr>
          <w:rFonts w:eastAsia="Times New Roman" w:hint="cs"/>
          <w:rtl/>
          <w:lang w:eastAsia="he-IL"/>
        </w:rPr>
        <w:t>אפשרות לסטות</w:t>
      </w:r>
      <w:r w:rsidRPr="00871C2C">
        <w:rPr>
          <w:rFonts w:eastAsia="Times New Roman" w:hint="cs"/>
          <w:rtl/>
          <w:lang w:eastAsia="he-IL"/>
        </w:rPr>
        <w:t xml:space="preserve"> מההמלצה בפועל; אינדיקציות ברורות לכך שהקמעונאים או המפיצים מרשים לעצמם לסטות מן המחיר המומלץ יתמכו במסקנה כי מדובר בהמלצה בלבד. מאידך גיסא, קיומם של תמריצים או תניות מצד הספק או יחסי כוחות אנכיים המוטים לטובת הספק באופן משמעותי מספיק שהקמעונאים לא יעזו לסטות מהמלצתו, יצביעו על כך שמדובר </w:t>
      </w:r>
      <w:r w:rsidRPr="00871C2C">
        <w:rPr>
          <w:rFonts w:eastAsia="Times New Roman" w:hint="cs"/>
          <w:rtl/>
          <w:lang w:eastAsia="he-IL"/>
        </w:rPr>
        <w:lastRenderedPageBreak/>
        <w:t>ב"המלצה" בשם בלבד.</w:t>
      </w:r>
      <w:r w:rsidR="00077C5E" w:rsidRPr="00871C2C">
        <w:rPr>
          <w:rFonts w:eastAsia="Times New Roman" w:hint="cs"/>
          <w:rtl/>
          <w:lang w:eastAsia="he-IL"/>
        </w:rPr>
        <w:t xml:space="preserve"> </w:t>
      </w:r>
      <w:r w:rsidR="00366226" w:rsidRPr="00871C2C">
        <w:rPr>
          <w:rFonts w:eastAsia="Times New Roman" w:hint="cs"/>
          <w:rtl/>
          <w:lang w:eastAsia="he-IL"/>
        </w:rPr>
        <w:t>מאחר ש</w:t>
      </w:r>
      <w:r w:rsidR="007B656A" w:rsidRPr="00871C2C">
        <w:rPr>
          <w:rFonts w:eastAsia="Times New Roman" w:hint="cs"/>
          <w:rtl/>
          <w:lang w:eastAsia="he-IL"/>
        </w:rPr>
        <w:t xml:space="preserve">אופן </w:t>
      </w:r>
      <w:r w:rsidR="00366226" w:rsidRPr="00871C2C">
        <w:rPr>
          <w:rFonts w:eastAsia="Times New Roman" w:hint="cs"/>
          <w:rtl/>
          <w:lang w:eastAsia="he-IL"/>
        </w:rPr>
        <w:t xml:space="preserve">ההשפעה של המלצה </w:t>
      </w:r>
      <w:r w:rsidR="00F9717A" w:rsidRPr="00871C2C">
        <w:rPr>
          <w:rFonts w:eastAsia="Times New Roman" w:hint="cs"/>
          <w:rtl/>
          <w:lang w:eastAsia="he-IL"/>
        </w:rPr>
        <w:t>ע</w:t>
      </w:r>
      <w:r w:rsidR="00366226" w:rsidRPr="00871C2C">
        <w:rPr>
          <w:rFonts w:eastAsia="Times New Roman" w:hint="cs"/>
          <w:rtl/>
          <w:lang w:eastAsia="he-IL"/>
        </w:rPr>
        <w:t xml:space="preserve">ל </w:t>
      </w:r>
      <w:r w:rsidR="007B656A" w:rsidRPr="00871C2C">
        <w:rPr>
          <w:rFonts w:eastAsia="Times New Roman" w:hint="cs"/>
          <w:rtl/>
          <w:lang w:eastAsia="he-IL"/>
        </w:rPr>
        <w:t>מרחב</w:t>
      </w:r>
      <w:r w:rsidR="00366226" w:rsidRPr="00871C2C">
        <w:rPr>
          <w:rFonts w:eastAsia="Times New Roman" w:hint="cs"/>
          <w:rtl/>
          <w:lang w:eastAsia="he-IL"/>
        </w:rPr>
        <w:t xml:space="preserve"> התמרון של הקמעונאים או המפיצים בפועל </w:t>
      </w:r>
      <w:r w:rsidR="007B656A" w:rsidRPr="00871C2C">
        <w:rPr>
          <w:rFonts w:eastAsia="Times New Roman" w:hint="cs"/>
          <w:rtl/>
          <w:lang w:eastAsia="he-IL"/>
        </w:rPr>
        <w:t xml:space="preserve">עשוי להשתנות, יש לבחון </w:t>
      </w:r>
      <w:r w:rsidR="007635FA" w:rsidRPr="00871C2C">
        <w:rPr>
          <w:rFonts w:eastAsia="Times New Roman" w:hint="cs"/>
          <w:rtl/>
          <w:lang w:eastAsia="he-IL"/>
        </w:rPr>
        <w:t>את ה</w:t>
      </w:r>
      <w:r w:rsidR="00073124" w:rsidRPr="00871C2C">
        <w:rPr>
          <w:rFonts w:eastAsia="Times New Roman" w:hint="cs"/>
          <w:rtl/>
          <w:lang w:eastAsia="he-IL"/>
        </w:rPr>
        <w:t>הצעה</w:t>
      </w:r>
      <w:r w:rsidR="0075703D" w:rsidRPr="00871C2C">
        <w:rPr>
          <w:rFonts w:eastAsia="Times New Roman" w:hint="cs"/>
          <w:rtl/>
          <w:lang w:eastAsia="he-IL"/>
        </w:rPr>
        <w:t>, מידת הסטייה ממנה ומידת האפשרות לסטות ממנה</w:t>
      </w:r>
      <w:r w:rsidR="00073124" w:rsidRPr="00871C2C">
        <w:rPr>
          <w:rFonts w:eastAsia="Times New Roman" w:hint="cs"/>
          <w:rtl/>
          <w:lang w:eastAsia="he-IL"/>
        </w:rPr>
        <w:t xml:space="preserve"> מעת לעת</w:t>
      </w:r>
      <w:r w:rsidR="007635FA" w:rsidRPr="00871C2C">
        <w:rPr>
          <w:rFonts w:eastAsia="Times New Roman" w:hint="cs"/>
          <w:rtl/>
          <w:lang w:eastAsia="he-IL"/>
        </w:rPr>
        <w:t>.</w:t>
      </w:r>
    </w:p>
    <w:p w14:paraId="2C29DF4D" w14:textId="77777777" w:rsidR="0022531A" w:rsidRPr="00871C2C" w:rsidRDefault="0022531A" w:rsidP="0075703D">
      <w:pPr>
        <w:tabs>
          <w:tab w:val="left" w:pos="374"/>
        </w:tabs>
        <w:spacing w:before="120" w:after="120" w:line="360" w:lineRule="exact"/>
        <w:jc w:val="both"/>
        <w:rPr>
          <w:rFonts w:eastAsia="Times New Roman"/>
          <w:rtl/>
          <w:lang w:eastAsia="he-IL"/>
        </w:rPr>
      </w:pPr>
    </w:p>
    <w:p w14:paraId="7636019E" w14:textId="21285399" w:rsidR="00C74DD1" w:rsidRPr="00871C2C" w:rsidRDefault="008C6DA9" w:rsidP="00032988">
      <w:pPr>
        <w:tabs>
          <w:tab w:val="left" w:pos="374"/>
          <w:tab w:val="center" w:pos="4060"/>
        </w:tabs>
        <w:spacing w:before="120" w:after="120" w:line="360" w:lineRule="exact"/>
        <w:jc w:val="both"/>
        <w:rPr>
          <w:rFonts w:eastAsia="Times New Roman"/>
          <w:u w:val="single"/>
          <w:lang w:eastAsia="he-IL"/>
        </w:rPr>
      </w:pPr>
      <w:r w:rsidRPr="00871C2C">
        <w:rPr>
          <w:rFonts w:eastAsia="Times New Roman" w:hint="cs"/>
          <w:u w:val="single"/>
          <w:rtl/>
          <w:lang w:eastAsia="he-IL"/>
        </w:rPr>
        <w:t xml:space="preserve">הסדר </w:t>
      </w:r>
      <w:r w:rsidR="00C74DD1" w:rsidRPr="00871C2C">
        <w:rPr>
          <w:rFonts w:eastAsia="Times New Roman"/>
          <w:u w:val="single"/>
          <w:lang w:eastAsia="he-IL"/>
        </w:rPr>
        <w:t>RPM</w:t>
      </w:r>
      <w:r w:rsidR="00C74DD1" w:rsidRPr="00871C2C">
        <w:rPr>
          <w:rFonts w:eastAsia="Times New Roman"/>
          <w:u w:val="single"/>
          <w:rtl/>
          <w:lang w:eastAsia="he-IL"/>
        </w:rPr>
        <w:t xml:space="preserve"> מקסימום</w:t>
      </w:r>
    </w:p>
    <w:p w14:paraId="10E90728" w14:textId="2A17BC51" w:rsidR="0055789A" w:rsidRPr="00871C2C" w:rsidRDefault="00FE1BEA" w:rsidP="00146FF7">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בנוסף להסדרי </w:t>
      </w:r>
      <w:r w:rsidRPr="00871C2C">
        <w:rPr>
          <w:rFonts w:eastAsia="Times New Roman"/>
          <w:lang w:eastAsia="he-IL"/>
        </w:rPr>
        <w:t>RPM</w:t>
      </w:r>
      <w:r w:rsidRPr="00871C2C">
        <w:rPr>
          <w:rFonts w:eastAsia="Times New Roman" w:hint="cs"/>
          <w:rtl/>
          <w:lang w:eastAsia="he-IL"/>
        </w:rPr>
        <w:t xml:space="preserve"> הקובעים </w:t>
      </w:r>
      <w:r w:rsidR="0055789A" w:rsidRPr="00871C2C">
        <w:rPr>
          <w:rFonts w:eastAsia="Times New Roman" w:hint="cs"/>
          <w:rtl/>
          <w:lang w:eastAsia="he-IL"/>
        </w:rPr>
        <w:t>מחיר מזערי</w:t>
      </w:r>
      <w:r w:rsidR="003254BF" w:rsidRPr="00871C2C">
        <w:rPr>
          <w:rFonts w:eastAsia="Times New Roman" w:hint="cs"/>
          <w:rtl/>
          <w:lang w:eastAsia="he-IL"/>
        </w:rPr>
        <w:t>, בין באמצעות קביעת מחיר קבוע (</w:t>
      </w:r>
      <w:r w:rsidR="003254BF" w:rsidRPr="00871C2C">
        <w:rPr>
          <w:rFonts w:eastAsia="Times New Roman"/>
          <w:lang w:eastAsia="he-IL"/>
        </w:rPr>
        <w:t>RPM fixed</w:t>
      </w:r>
      <w:r w:rsidR="003254BF" w:rsidRPr="00871C2C">
        <w:rPr>
          <w:rFonts w:eastAsia="Times New Roman" w:hint="cs"/>
          <w:rtl/>
          <w:lang w:eastAsia="he-IL"/>
        </w:rPr>
        <w:t xml:space="preserve">) </w:t>
      </w:r>
      <w:r w:rsidR="005E112B" w:rsidRPr="00871C2C">
        <w:rPr>
          <w:rFonts w:eastAsia="Times New Roman" w:hint="cs"/>
          <w:rtl/>
          <w:lang w:eastAsia="he-IL"/>
        </w:rPr>
        <w:t>ו</w:t>
      </w:r>
      <w:r w:rsidR="003254BF" w:rsidRPr="00871C2C">
        <w:rPr>
          <w:rFonts w:eastAsia="Times New Roman" w:hint="cs"/>
          <w:rtl/>
          <w:lang w:eastAsia="he-IL"/>
        </w:rPr>
        <w:t>בין באמצעות קביעת מחיר מזערי בלבד (</w:t>
      </w:r>
      <w:r w:rsidR="003254BF" w:rsidRPr="00871C2C">
        <w:rPr>
          <w:rFonts w:eastAsia="Times New Roman"/>
          <w:lang w:eastAsia="he-IL"/>
        </w:rPr>
        <w:t>RPM minimum</w:t>
      </w:r>
      <w:r w:rsidR="003254BF" w:rsidRPr="00871C2C">
        <w:rPr>
          <w:rFonts w:eastAsia="Times New Roman" w:hint="cs"/>
          <w:rtl/>
          <w:lang w:eastAsia="he-IL"/>
        </w:rPr>
        <w:t xml:space="preserve">), </w:t>
      </w:r>
      <w:r w:rsidR="0055789A" w:rsidRPr="00871C2C">
        <w:rPr>
          <w:rFonts w:eastAsia="Times New Roman" w:hint="cs"/>
          <w:rtl/>
          <w:lang w:eastAsia="he-IL"/>
        </w:rPr>
        <w:t xml:space="preserve">ספק עשוי להתקשר עם </w:t>
      </w:r>
      <w:r w:rsidR="00DE6310" w:rsidRPr="00871C2C">
        <w:rPr>
          <w:rFonts w:eastAsia="Times New Roman" w:hint="cs"/>
          <w:rtl/>
          <w:lang w:eastAsia="he-IL"/>
        </w:rPr>
        <w:t>קמעונאים</w:t>
      </w:r>
      <w:r w:rsidR="0055789A" w:rsidRPr="00871C2C">
        <w:rPr>
          <w:rFonts w:eastAsia="Times New Roman" w:hint="cs"/>
          <w:rtl/>
          <w:lang w:eastAsia="he-IL"/>
        </w:rPr>
        <w:t xml:space="preserve"> או מפיצים בהסכם המגביל את רמת המחיר המרבית שניתן לגבות מהצרכנים בגין המוצר </w:t>
      </w:r>
      <w:r w:rsidR="003254BF" w:rsidRPr="00871C2C">
        <w:rPr>
          <w:rFonts w:eastAsia="Times New Roman" w:hint="cs"/>
          <w:rtl/>
          <w:lang w:eastAsia="he-IL"/>
        </w:rPr>
        <w:t xml:space="preserve">בלבד </w:t>
      </w:r>
      <w:r w:rsidR="0055789A" w:rsidRPr="00871C2C">
        <w:rPr>
          <w:rFonts w:eastAsia="Times New Roman" w:hint="cs"/>
          <w:rtl/>
          <w:lang w:eastAsia="he-IL"/>
        </w:rPr>
        <w:t>(</w:t>
      </w:r>
      <w:r w:rsidR="0055789A" w:rsidRPr="00871C2C">
        <w:rPr>
          <w:rFonts w:eastAsia="Times New Roman"/>
          <w:lang w:eastAsia="he-IL"/>
        </w:rPr>
        <w:t>RPM maximum</w:t>
      </w:r>
      <w:r w:rsidR="0055789A" w:rsidRPr="00871C2C">
        <w:rPr>
          <w:rFonts w:eastAsia="Times New Roman" w:hint="cs"/>
          <w:rtl/>
          <w:lang w:eastAsia="he-IL"/>
        </w:rPr>
        <w:t xml:space="preserve">). ככלל, הסדרים אלה אינם מעלים את החששות לפגיעה בתחרות שתוארו בפרק </w:t>
      </w:r>
      <w:r w:rsidR="000E61C6" w:rsidRPr="00871C2C">
        <w:rPr>
          <w:rFonts w:eastAsia="Times New Roman" w:hint="cs"/>
          <w:rtl/>
          <w:lang w:eastAsia="he-IL"/>
        </w:rPr>
        <w:t>ג</w:t>
      </w:r>
      <w:r w:rsidR="00EF3FA3" w:rsidRPr="00871C2C">
        <w:rPr>
          <w:rFonts w:eastAsia="Times New Roman" w:hint="cs"/>
          <w:rtl/>
          <w:lang w:eastAsia="he-IL"/>
        </w:rPr>
        <w:t>.</w:t>
      </w:r>
      <w:r w:rsidR="00146FF7" w:rsidRPr="00871C2C">
        <w:rPr>
          <w:rFonts w:eastAsia="Times New Roman" w:hint="cs"/>
          <w:rtl/>
          <w:lang w:eastAsia="he-IL"/>
        </w:rPr>
        <w:t xml:space="preserve">2 </w:t>
      </w:r>
      <w:r w:rsidR="0055789A" w:rsidRPr="00871C2C">
        <w:rPr>
          <w:rFonts w:eastAsia="Times New Roman" w:hint="cs"/>
          <w:rtl/>
          <w:lang w:eastAsia="he-IL"/>
        </w:rPr>
        <w:t>לעיל.</w:t>
      </w:r>
    </w:p>
    <w:p w14:paraId="3473F140" w14:textId="6A2363B3" w:rsidR="00EB652F" w:rsidRPr="00871C2C" w:rsidRDefault="0055789A" w:rsidP="002C7059">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הסדר </w:t>
      </w:r>
      <w:r w:rsidRPr="00871C2C">
        <w:rPr>
          <w:rFonts w:eastAsia="Times New Roman"/>
          <w:lang w:eastAsia="he-IL"/>
        </w:rPr>
        <w:t>RPM maximum</w:t>
      </w:r>
      <w:r w:rsidRPr="00871C2C">
        <w:rPr>
          <w:rFonts w:eastAsia="Times New Roman" w:hint="cs"/>
          <w:rtl/>
          <w:lang w:eastAsia="he-IL"/>
        </w:rPr>
        <w:t xml:space="preserve"> יכול לשמש את הספק כפתרון לבעיית "המרווח הכפול" שעלול להיווצר כתוצאה מ</w:t>
      </w:r>
      <w:r w:rsidR="00C21251" w:rsidRPr="00871C2C">
        <w:rPr>
          <w:rFonts w:eastAsia="Times New Roman" w:hint="cs"/>
          <w:rtl/>
          <w:lang w:eastAsia="he-IL"/>
        </w:rPr>
        <w:t>הפער ב</w:t>
      </w:r>
      <w:r w:rsidRPr="00871C2C">
        <w:rPr>
          <w:rFonts w:eastAsia="Times New Roman" w:hint="cs"/>
          <w:rtl/>
          <w:lang w:eastAsia="he-IL"/>
        </w:rPr>
        <w:t xml:space="preserve">אינטרסים המניעים אותו ואת הקמעונאי: ספק מוכר לקמעונאי מוצר במחיר הממקסם את רווחיו. הספק היה מעדיף שהקמעונאי ימכור את המוצר במחיר </w:t>
      </w:r>
      <w:r w:rsidR="008C6DA9" w:rsidRPr="00871C2C">
        <w:rPr>
          <w:rFonts w:eastAsia="Times New Roman" w:hint="cs"/>
          <w:rtl/>
          <w:lang w:eastAsia="he-IL"/>
        </w:rPr>
        <w:t xml:space="preserve">זול ככל הניתן </w:t>
      </w:r>
      <w:r w:rsidRPr="00871C2C">
        <w:rPr>
          <w:rFonts w:eastAsia="Times New Roman"/>
          <w:rtl/>
          <w:lang w:eastAsia="he-IL"/>
        </w:rPr>
        <w:t>–</w:t>
      </w:r>
      <w:r w:rsidRPr="00871C2C">
        <w:rPr>
          <w:rFonts w:eastAsia="Times New Roman" w:hint="cs"/>
          <w:rtl/>
          <w:lang w:eastAsia="he-IL"/>
        </w:rPr>
        <w:t xml:space="preserve"> כלומר, במחיר עלות </w:t>
      </w:r>
      <w:r w:rsidRPr="00871C2C">
        <w:rPr>
          <w:rFonts w:eastAsia="Times New Roman"/>
          <w:rtl/>
          <w:lang w:eastAsia="he-IL"/>
        </w:rPr>
        <w:t>–</w:t>
      </w:r>
      <w:r w:rsidRPr="00871C2C">
        <w:rPr>
          <w:rFonts w:eastAsia="Times New Roman" w:hint="cs"/>
          <w:rtl/>
          <w:lang w:eastAsia="he-IL"/>
        </w:rPr>
        <w:t xml:space="preserve"> </w:t>
      </w:r>
      <w:r w:rsidR="008C6DA9" w:rsidRPr="00871C2C">
        <w:rPr>
          <w:rFonts w:eastAsia="Times New Roman" w:hint="cs"/>
          <w:rtl/>
          <w:lang w:eastAsia="he-IL"/>
        </w:rPr>
        <w:t xml:space="preserve">על מנת </w:t>
      </w:r>
      <w:r w:rsidRPr="00871C2C">
        <w:rPr>
          <w:rFonts w:eastAsia="Times New Roman" w:hint="cs"/>
          <w:rtl/>
          <w:lang w:eastAsia="he-IL"/>
        </w:rPr>
        <w:t xml:space="preserve">למקסם את כמות המוצרים </w:t>
      </w:r>
      <w:r w:rsidR="008C6DA9" w:rsidRPr="00871C2C">
        <w:rPr>
          <w:rFonts w:eastAsia="Times New Roman" w:hint="cs"/>
          <w:rtl/>
          <w:lang w:eastAsia="he-IL"/>
        </w:rPr>
        <w:t>ה</w:t>
      </w:r>
      <w:r w:rsidRPr="00871C2C">
        <w:rPr>
          <w:rFonts w:eastAsia="Times New Roman" w:hint="cs"/>
          <w:rtl/>
          <w:lang w:eastAsia="he-IL"/>
        </w:rPr>
        <w:t>נמכרים, ובכך את רווחי הספק. ואילו הקמעונאי יעדיף למכור את המוצר במחיר הממקסם את רווחיו</w:t>
      </w:r>
      <w:r w:rsidR="008C6DA9" w:rsidRPr="00871C2C">
        <w:rPr>
          <w:rFonts w:eastAsia="Times New Roman" w:hint="cs"/>
          <w:rtl/>
          <w:lang w:eastAsia="he-IL"/>
        </w:rPr>
        <w:t xml:space="preserve">; במקרה שבו המוצר אינו נמכר בשוק שבו שוררת תחרות משוכללת, מחיר זה </w:t>
      </w:r>
      <w:r w:rsidRPr="00871C2C">
        <w:rPr>
          <w:rFonts w:eastAsia="Times New Roman" w:hint="cs"/>
          <w:rtl/>
          <w:lang w:eastAsia="he-IL"/>
        </w:rPr>
        <w:t>יהיה גבוה ממחיר עלות. נוצר, איפוא, מרווח כפול מעל עלות ייצור המוצר</w:t>
      </w:r>
      <w:r w:rsidR="008C6DA9" w:rsidRPr="00871C2C">
        <w:rPr>
          <w:rFonts w:eastAsia="Times New Roman" w:hint="cs"/>
          <w:rtl/>
          <w:lang w:eastAsia="he-IL"/>
        </w:rPr>
        <w:t xml:space="preserve">, כך שכמות המוצר הנמכרת </w:t>
      </w:r>
      <w:r w:rsidR="002C7059" w:rsidRPr="00871C2C">
        <w:rPr>
          <w:rFonts w:eastAsia="Times New Roman" w:hint="cs"/>
          <w:rtl/>
          <w:lang w:eastAsia="he-IL"/>
        </w:rPr>
        <w:t xml:space="preserve">אף </w:t>
      </w:r>
      <w:r w:rsidR="00933E94" w:rsidRPr="00871C2C">
        <w:rPr>
          <w:rFonts w:eastAsia="Times New Roman" w:hint="cs"/>
          <w:rtl/>
          <w:lang w:eastAsia="he-IL"/>
        </w:rPr>
        <w:t>קטנה</w:t>
      </w:r>
      <w:r w:rsidR="008C6DA9" w:rsidRPr="00871C2C">
        <w:rPr>
          <w:rFonts w:eastAsia="Times New Roman" w:hint="cs"/>
          <w:rtl/>
          <w:lang w:eastAsia="he-IL"/>
        </w:rPr>
        <w:t xml:space="preserve"> ממה שהספק היה מעדיף</w:t>
      </w:r>
      <w:r w:rsidRPr="00871C2C">
        <w:rPr>
          <w:rFonts w:eastAsia="Times New Roman" w:hint="cs"/>
          <w:rtl/>
          <w:lang w:eastAsia="he-IL"/>
        </w:rPr>
        <w:t xml:space="preserve">. הסדר </w:t>
      </w:r>
      <w:r w:rsidRPr="00871C2C">
        <w:rPr>
          <w:rFonts w:eastAsia="Times New Roman"/>
          <w:lang w:eastAsia="he-IL"/>
        </w:rPr>
        <w:t>RPM maximum</w:t>
      </w:r>
      <w:r w:rsidRPr="00871C2C">
        <w:rPr>
          <w:rFonts w:eastAsia="Times New Roman" w:hint="cs"/>
          <w:rtl/>
          <w:lang w:eastAsia="he-IL"/>
        </w:rPr>
        <w:t xml:space="preserve"> עשוי לפתור לספק בעיה </w:t>
      </w:r>
      <w:r w:rsidR="00950197" w:rsidRPr="00871C2C">
        <w:rPr>
          <w:rFonts w:eastAsia="Times New Roman" w:hint="cs"/>
          <w:rtl/>
          <w:lang w:eastAsia="he-IL"/>
        </w:rPr>
        <w:t>זאת</w:t>
      </w:r>
      <w:r w:rsidR="008C6DA9" w:rsidRPr="00871C2C">
        <w:rPr>
          <w:rFonts w:eastAsia="Times New Roman" w:hint="cs"/>
          <w:rtl/>
          <w:lang w:eastAsia="he-IL"/>
        </w:rPr>
        <w:t xml:space="preserve"> בדרך של קביעת מחיר מרבי הנמוך ממחיר השוק</w:t>
      </w:r>
      <w:r w:rsidR="00850BC4" w:rsidRPr="00871C2C">
        <w:rPr>
          <w:rFonts w:eastAsia="Times New Roman" w:hint="cs"/>
          <w:rtl/>
          <w:lang w:eastAsia="he-IL"/>
        </w:rPr>
        <w:t xml:space="preserve">. </w:t>
      </w:r>
    </w:p>
    <w:p w14:paraId="02E92E22" w14:textId="630DD82E" w:rsidR="00A057D1" w:rsidRPr="00871C2C" w:rsidRDefault="00850BC4" w:rsidP="00E2375E">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הסדר </w:t>
      </w:r>
      <w:r w:rsidRPr="00871C2C">
        <w:rPr>
          <w:rFonts w:eastAsia="Times New Roman"/>
          <w:lang w:eastAsia="he-IL"/>
        </w:rPr>
        <w:t>RPM maximum</w:t>
      </w:r>
      <w:r w:rsidRPr="00871C2C">
        <w:rPr>
          <w:rFonts w:eastAsia="Times New Roman" w:hint="cs"/>
          <w:rtl/>
          <w:lang w:eastAsia="he-IL"/>
        </w:rPr>
        <w:t xml:space="preserve"> </w:t>
      </w:r>
      <w:r w:rsidR="008C6DA9" w:rsidRPr="00871C2C">
        <w:rPr>
          <w:rFonts w:eastAsia="Times New Roman" w:hint="cs"/>
          <w:rtl/>
          <w:lang w:eastAsia="he-IL"/>
        </w:rPr>
        <w:t xml:space="preserve">גם </w:t>
      </w:r>
      <w:r w:rsidRPr="00871C2C">
        <w:rPr>
          <w:rFonts w:eastAsia="Times New Roman" w:hint="cs"/>
          <w:rtl/>
          <w:lang w:eastAsia="he-IL"/>
        </w:rPr>
        <w:t xml:space="preserve">עשוי להגן </w:t>
      </w:r>
      <w:r w:rsidR="00521C96" w:rsidRPr="00871C2C">
        <w:rPr>
          <w:rFonts w:eastAsia="Times New Roman" w:hint="cs"/>
          <w:rtl/>
          <w:lang w:eastAsia="he-IL"/>
        </w:rPr>
        <w:t xml:space="preserve">על </w:t>
      </w:r>
      <w:r w:rsidRPr="00871C2C">
        <w:rPr>
          <w:rFonts w:eastAsia="Times New Roman" w:hint="cs"/>
          <w:rtl/>
          <w:lang w:eastAsia="he-IL"/>
        </w:rPr>
        <w:t xml:space="preserve">הצרכנים מפני ניצול כוח שוק מצד קמעונאי דומיננטי. </w:t>
      </w:r>
      <w:r w:rsidR="00940941" w:rsidRPr="00871C2C">
        <w:rPr>
          <w:rFonts w:eastAsia="Times New Roman" w:hint="cs"/>
          <w:rtl/>
          <w:lang w:eastAsia="he-IL"/>
        </w:rPr>
        <w:t>לשם המחשה, יבואן רכב עשוי לקבוע מחיר מרבי עבור חלפי רכב הנמכרים במוסך</w:t>
      </w:r>
      <w:r w:rsidR="00A057D1" w:rsidRPr="00871C2C">
        <w:rPr>
          <w:rFonts w:eastAsia="Times New Roman" w:hint="cs"/>
          <w:rtl/>
          <w:lang w:eastAsia="he-IL"/>
        </w:rPr>
        <w:t xml:space="preserve">, במטרה למנוע </w:t>
      </w:r>
      <w:r w:rsidR="00940941" w:rsidRPr="00871C2C">
        <w:rPr>
          <w:rFonts w:eastAsia="Times New Roman" w:hint="cs"/>
          <w:rtl/>
          <w:lang w:eastAsia="he-IL"/>
        </w:rPr>
        <w:t>הפעלת כוח שוק על ידי מוסך שאינו מרוסן על ידי תחרות מצדם ש</w:t>
      </w:r>
      <w:r w:rsidR="00A057D1" w:rsidRPr="00871C2C">
        <w:rPr>
          <w:rFonts w:eastAsia="Times New Roman" w:hint="cs"/>
          <w:rtl/>
          <w:lang w:eastAsia="he-IL"/>
        </w:rPr>
        <w:t xml:space="preserve">ל מוסכים אחרים באזור </w:t>
      </w:r>
      <w:r w:rsidR="00940941" w:rsidRPr="00871C2C">
        <w:rPr>
          <w:rFonts w:eastAsia="Times New Roman" w:hint="cs"/>
          <w:rtl/>
          <w:lang w:eastAsia="he-IL"/>
        </w:rPr>
        <w:t>גיאוגרפי</w:t>
      </w:r>
      <w:r w:rsidR="00A057D1" w:rsidRPr="00871C2C">
        <w:rPr>
          <w:rFonts w:eastAsia="Times New Roman" w:hint="cs"/>
          <w:rtl/>
          <w:lang w:eastAsia="he-IL"/>
        </w:rPr>
        <w:t xml:space="preserve"> נתון</w:t>
      </w:r>
      <w:r w:rsidR="00940941" w:rsidRPr="00871C2C">
        <w:rPr>
          <w:rFonts w:eastAsia="Times New Roman" w:hint="cs"/>
          <w:rtl/>
          <w:lang w:eastAsia="he-IL"/>
        </w:rPr>
        <w:t>.</w:t>
      </w:r>
      <w:r w:rsidR="00A057D1" w:rsidRPr="00871C2C">
        <w:rPr>
          <w:rFonts w:eastAsia="Times New Roman" w:hint="cs"/>
          <w:rtl/>
          <w:lang w:eastAsia="he-IL"/>
        </w:rPr>
        <w:t xml:space="preserve"> בדוגמה ז</w:t>
      </w:r>
      <w:r w:rsidR="00E2375E" w:rsidRPr="00871C2C">
        <w:rPr>
          <w:rFonts w:eastAsia="Times New Roman" w:hint="cs"/>
          <w:rtl/>
          <w:lang w:eastAsia="he-IL"/>
        </w:rPr>
        <w:t>את</w:t>
      </w:r>
      <w:r w:rsidR="00A057D1" w:rsidRPr="00871C2C">
        <w:rPr>
          <w:rFonts w:eastAsia="Times New Roman" w:hint="cs"/>
          <w:rtl/>
          <w:lang w:eastAsia="he-IL"/>
        </w:rPr>
        <w:t xml:space="preserve">, ריסון כוחו של המוסך עשוי לסייע ליבואן הרכב בתחרות בשוק כלי הרכב, וזאת ככל שהצרכנים משקללים גם את עלות החלפים בעת רכישת כלי רכב חדש. </w:t>
      </w:r>
    </w:p>
    <w:p w14:paraId="147F89A8" w14:textId="5F767E68" w:rsidR="0055789A" w:rsidRPr="00871C2C" w:rsidRDefault="00850BC4" w:rsidP="00991353">
      <w:pPr>
        <w:tabs>
          <w:tab w:val="left" w:pos="374"/>
        </w:tabs>
        <w:spacing w:before="120" w:after="120" w:line="360" w:lineRule="exact"/>
        <w:jc w:val="both"/>
        <w:rPr>
          <w:rFonts w:eastAsia="Times New Roman"/>
          <w:lang w:eastAsia="he-IL"/>
        </w:rPr>
      </w:pPr>
      <w:r w:rsidRPr="00871C2C">
        <w:rPr>
          <w:rFonts w:eastAsia="Times New Roman" w:hint="cs"/>
          <w:rtl/>
          <w:lang w:eastAsia="he-IL"/>
        </w:rPr>
        <w:t>נוכח האמור, הסדרים אלה לרוב ייחשבו כיעילים כלכלית</w:t>
      </w:r>
      <w:r w:rsidR="00FE1BEA" w:rsidRPr="00871C2C">
        <w:rPr>
          <w:rFonts w:eastAsia="Times New Roman" w:hint="cs"/>
          <w:rtl/>
          <w:lang w:eastAsia="he-IL"/>
        </w:rPr>
        <w:t xml:space="preserve">, שכן </w:t>
      </w:r>
      <w:r w:rsidR="00521C96" w:rsidRPr="00871C2C">
        <w:rPr>
          <w:rFonts w:eastAsia="Times New Roman" w:hint="cs"/>
          <w:rtl/>
          <w:lang w:eastAsia="he-IL"/>
        </w:rPr>
        <w:t>א</w:t>
      </w:r>
      <w:r w:rsidR="00FE1BEA" w:rsidRPr="00871C2C">
        <w:rPr>
          <w:rFonts w:eastAsia="Times New Roman" w:hint="cs"/>
          <w:rtl/>
          <w:lang w:eastAsia="he-IL"/>
        </w:rPr>
        <w:t>ין בהם להגביל את התחרות</w:t>
      </w:r>
      <w:r w:rsidRPr="00871C2C">
        <w:rPr>
          <w:rFonts w:eastAsia="Times New Roman" w:hint="cs"/>
          <w:rtl/>
          <w:lang w:eastAsia="he-IL"/>
        </w:rPr>
        <w:t>.</w:t>
      </w:r>
      <w:r w:rsidRPr="00871C2C">
        <w:rPr>
          <w:rStyle w:val="FootnoteReference"/>
          <w:rFonts w:eastAsia="Times New Roman"/>
          <w:rtl/>
          <w:lang w:eastAsia="he-IL"/>
        </w:rPr>
        <w:footnoteReference w:id="33"/>
      </w:r>
      <w:r w:rsidR="00CE3871" w:rsidRPr="00871C2C">
        <w:rPr>
          <w:rFonts w:eastAsia="Times New Roman" w:hint="cs"/>
          <w:rtl/>
          <w:lang w:eastAsia="he-IL"/>
        </w:rPr>
        <w:t xml:space="preserve"> </w:t>
      </w:r>
      <w:r w:rsidRPr="00871C2C">
        <w:rPr>
          <w:rFonts w:eastAsia="Times New Roman" w:hint="cs"/>
          <w:rtl/>
          <w:lang w:eastAsia="he-IL"/>
        </w:rPr>
        <w:t>יחד עם זאת, לעיתים המחיר שנקבע</w:t>
      </w:r>
      <w:r w:rsidR="008C6DA9" w:rsidRPr="00871C2C">
        <w:rPr>
          <w:rFonts w:eastAsia="Times New Roman" w:hint="cs"/>
          <w:rtl/>
          <w:lang w:eastAsia="he-IL"/>
        </w:rPr>
        <w:t xml:space="preserve"> בהסדר </w:t>
      </w:r>
      <w:r w:rsidR="008C6DA9" w:rsidRPr="00871C2C">
        <w:rPr>
          <w:rFonts w:eastAsia="Times New Roman"/>
          <w:lang w:eastAsia="he-IL"/>
        </w:rPr>
        <w:t>RPM maximum</w:t>
      </w:r>
      <w:r w:rsidRPr="00871C2C">
        <w:rPr>
          <w:rFonts w:eastAsia="Times New Roman" w:hint="cs"/>
          <w:rtl/>
          <w:lang w:eastAsia="he-IL"/>
        </w:rPr>
        <w:t xml:space="preserve"> </w:t>
      </w:r>
      <w:r w:rsidR="008C6DA9" w:rsidRPr="00871C2C">
        <w:rPr>
          <w:rFonts w:eastAsia="Times New Roman" w:hint="cs"/>
          <w:rtl/>
          <w:lang w:eastAsia="he-IL"/>
        </w:rPr>
        <w:t xml:space="preserve">ישמש </w:t>
      </w:r>
      <w:r w:rsidRPr="00871C2C">
        <w:rPr>
          <w:rFonts w:eastAsia="Times New Roman" w:hint="cs"/>
          <w:rtl/>
          <w:lang w:eastAsia="he-IL"/>
        </w:rPr>
        <w:t xml:space="preserve">בפועל כנקודת ייחוס </w:t>
      </w:r>
      <w:r w:rsidR="00521C96" w:rsidRPr="00871C2C">
        <w:rPr>
          <w:rFonts w:eastAsia="Times New Roman" w:hint="cs"/>
          <w:rtl/>
          <w:lang w:eastAsia="he-IL"/>
        </w:rPr>
        <w:t xml:space="preserve">לתמחור </w:t>
      </w:r>
      <w:r w:rsidRPr="00871C2C">
        <w:rPr>
          <w:rFonts w:eastAsia="Times New Roman" w:hint="cs"/>
          <w:rtl/>
          <w:lang w:eastAsia="he-IL"/>
        </w:rPr>
        <w:t>עבור כל ה</w:t>
      </w:r>
      <w:r w:rsidR="00DE6310" w:rsidRPr="00871C2C">
        <w:rPr>
          <w:rFonts w:eastAsia="Times New Roman" w:hint="cs"/>
          <w:rtl/>
          <w:lang w:eastAsia="he-IL"/>
        </w:rPr>
        <w:t>קמעונאים</w:t>
      </w:r>
      <w:r w:rsidR="00F9717A" w:rsidRPr="00871C2C">
        <w:rPr>
          <w:rFonts w:eastAsia="Times New Roman" w:hint="cs"/>
          <w:rtl/>
          <w:lang w:eastAsia="he-IL"/>
        </w:rPr>
        <w:t xml:space="preserve"> או הספקים</w:t>
      </w:r>
      <w:r w:rsidR="00521C96" w:rsidRPr="00871C2C">
        <w:rPr>
          <w:rFonts w:eastAsia="Times New Roman" w:hint="cs"/>
          <w:rtl/>
          <w:lang w:eastAsia="he-IL"/>
        </w:rPr>
        <w:t xml:space="preserve"> (</w:t>
      </w:r>
      <w:r w:rsidR="00521C96" w:rsidRPr="00871C2C">
        <w:rPr>
          <w:rFonts w:eastAsia="Times New Roman"/>
          <w:lang w:eastAsia="he-IL"/>
        </w:rPr>
        <w:t>focal point</w:t>
      </w:r>
      <w:r w:rsidR="00521C96" w:rsidRPr="00871C2C">
        <w:rPr>
          <w:rFonts w:eastAsia="Times New Roman" w:hint="cs"/>
          <w:rtl/>
          <w:lang w:eastAsia="he-IL"/>
        </w:rPr>
        <w:t>)</w:t>
      </w:r>
      <w:r w:rsidRPr="00871C2C">
        <w:rPr>
          <w:rFonts w:eastAsia="Times New Roman" w:hint="cs"/>
          <w:rtl/>
          <w:lang w:eastAsia="he-IL"/>
        </w:rPr>
        <w:t xml:space="preserve">; במילים אחרות, הסדר </w:t>
      </w:r>
      <w:r w:rsidRPr="00871C2C">
        <w:rPr>
          <w:rFonts w:eastAsia="Times New Roman"/>
          <w:lang w:eastAsia="he-IL"/>
        </w:rPr>
        <w:t>RPM maximum</w:t>
      </w:r>
      <w:r w:rsidRPr="00871C2C">
        <w:rPr>
          <w:rFonts w:eastAsia="Times New Roman" w:hint="cs"/>
          <w:rtl/>
          <w:lang w:eastAsia="he-IL"/>
        </w:rPr>
        <w:t xml:space="preserve"> </w:t>
      </w:r>
      <w:r w:rsidR="00C21251" w:rsidRPr="00871C2C">
        <w:rPr>
          <w:rFonts w:eastAsia="Times New Roman" w:hint="cs"/>
          <w:rtl/>
          <w:lang w:eastAsia="he-IL"/>
        </w:rPr>
        <w:t>עשוי</w:t>
      </w:r>
      <w:r w:rsidRPr="00871C2C">
        <w:rPr>
          <w:rFonts w:eastAsia="Times New Roman" w:hint="cs"/>
          <w:rtl/>
          <w:lang w:eastAsia="he-IL"/>
        </w:rPr>
        <w:t xml:space="preserve"> </w:t>
      </w:r>
      <w:r w:rsidR="008C6DA9" w:rsidRPr="00871C2C">
        <w:rPr>
          <w:rFonts w:eastAsia="Times New Roman" w:hint="cs"/>
          <w:rtl/>
          <w:lang w:eastAsia="he-IL"/>
        </w:rPr>
        <w:t>להפוך</w:t>
      </w:r>
      <w:r w:rsidRPr="00871C2C">
        <w:rPr>
          <w:rFonts w:eastAsia="Times New Roman" w:hint="cs"/>
          <w:rtl/>
          <w:lang w:eastAsia="he-IL"/>
        </w:rPr>
        <w:t xml:space="preserve">, </w:t>
      </w:r>
      <w:r w:rsidRPr="00871C2C">
        <w:rPr>
          <w:rFonts w:eastAsia="Times New Roman"/>
          <w:i/>
          <w:iCs/>
          <w:lang w:eastAsia="he-IL"/>
        </w:rPr>
        <w:t>de facto</w:t>
      </w:r>
      <w:r w:rsidRPr="00871C2C">
        <w:rPr>
          <w:rFonts w:eastAsia="Times New Roman" w:hint="cs"/>
          <w:rtl/>
          <w:lang w:eastAsia="he-IL"/>
        </w:rPr>
        <w:t xml:space="preserve">, </w:t>
      </w:r>
      <w:r w:rsidR="008C6DA9" w:rsidRPr="00871C2C">
        <w:rPr>
          <w:rFonts w:eastAsia="Times New Roman" w:hint="cs"/>
          <w:rtl/>
          <w:lang w:eastAsia="he-IL"/>
        </w:rPr>
        <w:t>ל</w:t>
      </w:r>
      <w:r w:rsidRPr="00871C2C">
        <w:rPr>
          <w:rFonts w:eastAsia="Times New Roman" w:hint="cs"/>
          <w:rtl/>
          <w:lang w:eastAsia="he-IL"/>
        </w:rPr>
        <w:t xml:space="preserve">הסדר </w:t>
      </w:r>
      <w:r w:rsidRPr="00871C2C">
        <w:rPr>
          <w:rFonts w:eastAsia="Times New Roman"/>
          <w:lang w:eastAsia="he-IL"/>
        </w:rPr>
        <w:t>RPM fixed</w:t>
      </w:r>
      <w:r w:rsidRPr="00871C2C">
        <w:rPr>
          <w:rFonts w:eastAsia="Times New Roman" w:hint="cs"/>
          <w:rtl/>
          <w:lang w:eastAsia="he-IL"/>
        </w:rPr>
        <w:t>. לפיכך, חשוב לבחון הסדרים אלה באופן עיתי, על מנת להעריך את מהותם הכלכלית בפועל ולבחון את השפעתם על התחרות בהתאם.</w:t>
      </w:r>
    </w:p>
    <w:p w14:paraId="56735C93" w14:textId="4E0A09BE" w:rsidR="00F771F2" w:rsidRPr="00871C2C" w:rsidRDefault="00FE1BEA" w:rsidP="00CB6389">
      <w:pPr>
        <w:pStyle w:val="Heading1"/>
        <w:rPr>
          <w:rFonts w:eastAsia="Times New Roman"/>
          <w:lang w:eastAsia="he-IL"/>
        </w:rPr>
      </w:pPr>
      <w:r w:rsidRPr="00871C2C">
        <w:rPr>
          <w:rFonts w:eastAsia="Times New Roman" w:hint="cs"/>
          <w:rtl/>
          <w:lang w:eastAsia="he-IL"/>
        </w:rPr>
        <w:lastRenderedPageBreak/>
        <w:t>סוף</w:t>
      </w:r>
      <w:bookmarkStart w:id="0" w:name="_GoBack"/>
      <w:bookmarkEnd w:id="0"/>
      <w:r w:rsidRPr="00871C2C">
        <w:rPr>
          <w:rFonts w:eastAsia="Times New Roman" w:hint="cs"/>
          <w:rtl/>
          <w:lang w:eastAsia="he-IL"/>
        </w:rPr>
        <w:t xml:space="preserve"> דבר</w:t>
      </w:r>
    </w:p>
    <w:p w14:paraId="7016F83E" w14:textId="252B38F3" w:rsidR="00A040CA" w:rsidRDefault="00307D37" w:rsidP="00E2375E">
      <w:pPr>
        <w:tabs>
          <w:tab w:val="left" w:pos="374"/>
        </w:tabs>
        <w:spacing w:before="120" w:after="120" w:line="360" w:lineRule="exact"/>
        <w:jc w:val="both"/>
        <w:rPr>
          <w:rFonts w:eastAsia="Times New Roman"/>
          <w:rtl/>
          <w:lang w:eastAsia="he-IL"/>
        </w:rPr>
      </w:pPr>
      <w:r w:rsidRPr="00871C2C">
        <w:rPr>
          <w:rFonts w:eastAsia="Times New Roman" w:hint="cs"/>
          <w:rtl/>
          <w:lang w:eastAsia="he-IL"/>
        </w:rPr>
        <w:t xml:space="preserve">בעקבות </w:t>
      </w:r>
      <w:r w:rsidR="005B4A90" w:rsidRPr="00871C2C">
        <w:rPr>
          <w:rFonts w:eastAsia="Times New Roman" w:hint="cs"/>
          <w:rtl/>
          <w:lang w:eastAsia="he-IL"/>
        </w:rPr>
        <w:t>פסק הדין בפרשת שופרסל</w:t>
      </w:r>
      <w:r w:rsidRPr="00871C2C">
        <w:rPr>
          <w:rFonts w:eastAsia="Times New Roman" w:hint="cs"/>
          <w:rtl/>
          <w:lang w:eastAsia="he-IL"/>
        </w:rPr>
        <w:t xml:space="preserve">, דין הסדרי </w:t>
      </w:r>
      <w:r w:rsidRPr="00871C2C">
        <w:rPr>
          <w:rFonts w:eastAsia="Times New Roman"/>
          <w:lang w:eastAsia="he-IL"/>
        </w:rPr>
        <w:t>RPM</w:t>
      </w:r>
      <w:r w:rsidRPr="00871C2C">
        <w:rPr>
          <w:rFonts w:eastAsia="Times New Roman" w:hint="cs"/>
          <w:rtl/>
          <w:lang w:eastAsia="he-IL"/>
        </w:rPr>
        <w:t xml:space="preserve"> כדין יתר הכבילות האנכיות:</w:t>
      </w:r>
      <w:r w:rsidR="004365F0" w:rsidRPr="00871C2C">
        <w:rPr>
          <w:rFonts w:eastAsia="Times New Roman" w:hint="cs"/>
          <w:rtl/>
          <w:lang w:eastAsia="he-IL"/>
        </w:rPr>
        <w:t xml:space="preserve"> </w:t>
      </w:r>
      <w:r w:rsidR="00F9717A" w:rsidRPr="00871C2C">
        <w:rPr>
          <w:rFonts w:eastAsia="Times New Roman" w:hint="cs"/>
          <w:rtl/>
          <w:lang w:eastAsia="he-IL"/>
        </w:rPr>
        <w:t>הס</w:t>
      </w:r>
      <w:r w:rsidR="003545E7" w:rsidRPr="00871C2C">
        <w:rPr>
          <w:rFonts w:eastAsia="Times New Roman" w:hint="cs"/>
          <w:rtl/>
          <w:lang w:eastAsia="he-IL"/>
        </w:rPr>
        <w:t>ד</w:t>
      </w:r>
      <w:r w:rsidR="00F9717A" w:rsidRPr="00871C2C">
        <w:rPr>
          <w:rFonts w:eastAsia="Times New Roman" w:hint="cs"/>
          <w:rtl/>
          <w:lang w:eastAsia="he-IL"/>
        </w:rPr>
        <w:t xml:space="preserve">רי </w:t>
      </w:r>
      <w:r w:rsidR="00F9717A" w:rsidRPr="00871C2C">
        <w:rPr>
          <w:rFonts w:eastAsia="Times New Roman"/>
          <w:lang w:eastAsia="he-IL"/>
        </w:rPr>
        <w:t>RPM</w:t>
      </w:r>
      <w:r w:rsidR="00F9717A" w:rsidRPr="00871C2C">
        <w:rPr>
          <w:rFonts w:eastAsia="Times New Roman" w:hint="cs"/>
          <w:rtl/>
          <w:lang w:eastAsia="he-IL"/>
        </w:rPr>
        <w:t xml:space="preserve"> </w:t>
      </w:r>
      <w:r w:rsidR="004365F0" w:rsidRPr="00871C2C">
        <w:rPr>
          <w:rFonts w:eastAsia="Times New Roman" w:hint="cs"/>
          <w:rtl/>
          <w:lang w:eastAsia="he-IL"/>
        </w:rPr>
        <w:t xml:space="preserve">אינם נפסלים באופן גורף או מסווגים </w:t>
      </w:r>
      <w:r w:rsidR="002C7059" w:rsidRPr="00871C2C">
        <w:rPr>
          <w:rFonts w:eastAsia="Times New Roman" w:hint="cs"/>
          <w:rtl/>
          <w:lang w:eastAsia="he-IL"/>
        </w:rPr>
        <w:t xml:space="preserve">כשלעצמם </w:t>
      </w:r>
      <w:r w:rsidR="004365F0" w:rsidRPr="00871C2C">
        <w:rPr>
          <w:rFonts w:eastAsia="Times New Roman" w:hint="cs"/>
          <w:rtl/>
          <w:lang w:eastAsia="he-IL"/>
        </w:rPr>
        <w:t>כהסדרים כובלים</w:t>
      </w:r>
      <w:r w:rsidR="00F9717A" w:rsidRPr="00871C2C">
        <w:rPr>
          <w:rFonts w:eastAsia="Times New Roman" w:hint="cs"/>
          <w:rtl/>
          <w:lang w:eastAsia="he-IL"/>
        </w:rPr>
        <w:t xml:space="preserve">; </w:t>
      </w:r>
      <w:r w:rsidRPr="00871C2C">
        <w:rPr>
          <w:rFonts w:eastAsia="Times New Roman" w:hint="cs"/>
          <w:rtl/>
          <w:lang w:eastAsia="he-IL"/>
        </w:rPr>
        <w:t xml:space="preserve">חוקיותם </w:t>
      </w:r>
      <w:r w:rsidR="00F9717A" w:rsidRPr="00871C2C">
        <w:rPr>
          <w:rFonts w:eastAsia="Times New Roman" w:hint="cs"/>
          <w:rtl/>
          <w:lang w:eastAsia="he-IL"/>
        </w:rPr>
        <w:t>נבחנת</w:t>
      </w:r>
      <w:r w:rsidRPr="00871C2C">
        <w:rPr>
          <w:rFonts w:eastAsia="Times New Roman" w:hint="cs"/>
          <w:rtl/>
          <w:lang w:eastAsia="he-IL"/>
        </w:rPr>
        <w:t xml:space="preserve"> בהתאם למידת החשש לפגיעה בתחרות שהם מעוררים. </w:t>
      </w:r>
      <w:r w:rsidR="002C7059" w:rsidRPr="00871C2C">
        <w:rPr>
          <w:rFonts w:eastAsia="Times New Roman" w:hint="cs"/>
          <w:rtl/>
          <w:lang w:eastAsia="he-IL"/>
        </w:rPr>
        <w:t xml:space="preserve">יחד עם זאת, </w:t>
      </w:r>
      <w:r w:rsidRPr="00871C2C">
        <w:rPr>
          <w:rFonts w:eastAsia="Times New Roman" w:hint="cs"/>
          <w:rtl/>
          <w:lang w:eastAsia="he-IL"/>
        </w:rPr>
        <w:t xml:space="preserve">נקודת המוצא לבחינת הסדר </w:t>
      </w:r>
      <w:r w:rsidRPr="00871C2C">
        <w:rPr>
          <w:rFonts w:eastAsia="Times New Roman"/>
          <w:lang w:eastAsia="he-IL"/>
        </w:rPr>
        <w:t>RPM</w:t>
      </w:r>
      <w:r w:rsidRPr="00871C2C">
        <w:rPr>
          <w:rFonts w:eastAsia="Times New Roman" w:hint="cs"/>
          <w:rtl/>
          <w:lang w:eastAsia="he-IL"/>
        </w:rPr>
        <w:t xml:space="preserve"> שונה מרובן של הכבילות האנכיות</w:t>
      </w:r>
      <w:r w:rsidR="004365F0" w:rsidRPr="00871C2C">
        <w:rPr>
          <w:rFonts w:eastAsia="Times New Roman" w:hint="cs"/>
          <w:rtl/>
          <w:lang w:eastAsia="he-IL"/>
        </w:rPr>
        <w:t>, שכן תוצאת</w:t>
      </w:r>
      <w:r w:rsidR="00784DFD" w:rsidRPr="00871C2C">
        <w:rPr>
          <w:rFonts w:eastAsia="Times New Roman" w:hint="cs"/>
          <w:rtl/>
          <w:lang w:eastAsia="he-IL"/>
        </w:rPr>
        <w:t>ו</w:t>
      </w:r>
      <w:r w:rsidR="004365F0" w:rsidRPr="00871C2C">
        <w:rPr>
          <w:rFonts w:eastAsia="Times New Roman" w:hint="cs"/>
          <w:rtl/>
          <w:lang w:eastAsia="he-IL"/>
        </w:rPr>
        <w:t xml:space="preserve"> הישירה של הסדר </w:t>
      </w:r>
      <w:r w:rsidR="004365F0" w:rsidRPr="00871C2C">
        <w:rPr>
          <w:rFonts w:eastAsia="Times New Roman"/>
          <w:lang w:eastAsia="he-IL"/>
        </w:rPr>
        <w:t>RPM</w:t>
      </w:r>
      <w:r w:rsidR="004365F0" w:rsidRPr="00871C2C">
        <w:rPr>
          <w:rFonts w:eastAsia="Times New Roman" w:hint="cs"/>
          <w:rtl/>
          <w:lang w:eastAsia="he-IL"/>
        </w:rPr>
        <w:t xml:space="preserve"> </w:t>
      </w:r>
      <w:r w:rsidR="00784DFD" w:rsidRPr="00871C2C">
        <w:rPr>
          <w:rFonts w:eastAsia="Times New Roman" w:hint="cs"/>
          <w:rtl/>
          <w:lang w:eastAsia="he-IL"/>
        </w:rPr>
        <w:t xml:space="preserve">היא </w:t>
      </w:r>
      <w:r w:rsidR="004365F0" w:rsidRPr="00871C2C">
        <w:rPr>
          <w:rFonts w:eastAsia="Times New Roman" w:hint="cs"/>
          <w:rtl/>
          <w:lang w:eastAsia="he-IL"/>
        </w:rPr>
        <w:t xml:space="preserve">הגבלת התחרות </w:t>
      </w:r>
      <w:r w:rsidR="00784DFD" w:rsidRPr="00871C2C">
        <w:rPr>
          <w:rFonts w:eastAsia="Times New Roman" w:hint="cs"/>
          <w:rtl/>
          <w:lang w:eastAsia="he-IL"/>
        </w:rPr>
        <w:t>ה</w:t>
      </w:r>
      <w:r w:rsidR="004365F0" w:rsidRPr="00871C2C">
        <w:rPr>
          <w:rFonts w:eastAsia="Times New Roman" w:hint="cs"/>
          <w:rtl/>
          <w:lang w:eastAsia="he-IL"/>
        </w:rPr>
        <w:t>תוך-מותגית</w:t>
      </w:r>
      <w:r w:rsidR="00784DFD" w:rsidRPr="00871C2C">
        <w:rPr>
          <w:rFonts w:eastAsia="Times New Roman" w:hint="cs"/>
          <w:rtl/>
          <w:lang w:eastAsia="he-IL"/>
        </w:rPr>
        <w:t xml:space="preserve"> </w:t>
      </w:r>
      <w:r w:rsidR="00F9717A" w:rsidRPr="00871C2C">
        <w:rPr>
          <w:rFonts w:eastAsia="Times New Roman" w:hint="cs"/>
          <w:rtl/>
          <w:lang w:eastAsia="he-IL"/>
        </w:rPr>
        <w:t>בהיבט מחיר המוצר מושא ההסדר</w:t>
      </w:r>
      <w:r w:rsidR="004365F0" w:rsidRPr="00871C2C">
        <w:rPr>
          <w:rFonts w:eastAsia="Times New Roman" w:hint="cs"/>
          <w:rtl/>
          <w:lang w:eastAsia="he-IL"/>
        </w:rPr>
        <w:t xml:space="preserve">. </w:t>
      </w:r>
      <w:r w:rsidR="00465831" w:rsidRPr="00871C2C">
        <w:rPr>
          <w:rFonts w:eastAsia="Times New Roman" w:hint="cs"/>
          <w:rtl/>
          <w:lang w:eastAsia="he-IL"/>
        </w:rPr>
        <w:t xml:space="preserve">משכך, מן הראוי שצדדים יתקשרו בהסדרים אלה </w:t>
      </w:r>
      <w:r w:rsidR="00313EBB" w:rsidRPr="00871C2C">
        <w:rPr>
          <w:rFonts w:eastAsia="Times New Roman" w:hint="cs"/>
          <w:rtl/>
          <w:lang w:eastAsia="he-IL"/>
        </w:rPr>
        <w:t xml:space="preserve">הנוגעים למקטע הקמעונאי </w:t>
      </w:r>
      <w:r w:rsidR="00465831" w:rsidRPr="00871C2C">
        <w:rPr>
          <w:rFonts w:eastAsia="Times New Roman" w:hint="cs"/>
          <w:rtl/>
          <w:lang w:eastAsia="he-IL"/>
        </w:rPr>
        <w:t xml:space="preserve">רק </w:t>
      </w:r>
      <w:r w:rsidR="004365F0" w:rsidRPr="00871C2C">
        <w:rPr>
          <w:rFonts w:eastAsia="Times New Roman" w:hint="cs"/>
          <w:rtl/>
          <w:lang w:eastAsia="he-IL"/>
        </w:rPr>
        <w:t xml:space="preserve">בהתקיים שני תנאים מצטברים: הראשון, שההסדר אינו </w:t>
      </w:r>
      <w:r w:rsidR="00F9717A" w:rsidRPr="00871C2C">
        <w:rPr>
          <w:rFonts w:eastAsia="Times New Roman" w:hint="cs"/>
          <w:rtl/>
          <w:lang w:eastAsia="he-IL"/>
        </w:rPr>
        <w:t>נוגע ל</w:t>
      </w:r>
      <w:r w:rsidR="004365F0" w:rsidRPr="00871C2C">
        <w:rPr>
          <w:rFonts w:eastAsia="Times New Roman" w:hint="cs"/>
          <w:rtl/>
          <w:lang w:eastAsia="he-IL"/>
        </w:rPr>
        <w:t xml:space="preserve">שוק </w:t>
      </w:r>
      <w:r w:rsidR="0025379C" w:rsidRPr="00871C2C">
        <w:rPr>
          <w:rFonts w:eastAsia="Times New Roman" w:hint="cs"/>
          <w:rtl/>
          <w:lang w:eastAsia="he-IL"/>
        </w:rPr>
        <w:t xml:space="preserve">אשר בשל מאפייניו שוררת בו </w:t>
      </w:r>
      <w:r w:rsidR="004365F0" w:rsidRPr="00871C2C">
        <w:rPr>
          <w:rFonts w:eastAsia="Times New Roman" w:hint="cs"/>
          <w:rtl/>
          <w:lang w:eastAsia="he-IL"/>
        </w:rPr>
        <w:t>מידה מ</w:t>
      </w:r>
      <w:r w:rsidR="00784DFD" w:rsidRPr="00871C2C">
        <w:rPr>
          <w:rFonts w:eastAsia="Times New Roman" w:hint="cs"/>
          <w:rtl/>
          <w:lang w:eastAsia="he-IL"/>
        </w:rPr>
        <w:t>ו</w:t>
      </w:r>
      <w:r w:rsidR="004365F0" w:rsidRPr="00871C2C">
        <w:rPr>
          <w:rFonts w:eastAsia="Times New Roman" w:hint="cs"/>
          <w:rtl/>
          <w:lang w:eastAsia="he-IL"/>
        </w:rPr>
        <w:t xml:space="preserve">עטה של תחרות </w:t>
      </w:r>
      <w:r w:rsidR="00784DFD" w:rsidRPr="00871C2C">
        <w:rPr>
          <w:rFonts w:eastAsia="Times New Roman" w:hint="cs"/>
          <w:rtl/>
          <w:lang w:eastAsia="he-IL"/>
        </w:rPr>
        <w:t>או</w:t>
      </w:r>
      <w:r w:rsidR="00F9717A" w:rsidRPr="00871C2C">
        <w:rPr>
          <w:rFonts w:eastAsia="Times New Roman" w:hint="cs"/>
          <w:rtl/>
          <w:lang w:eastAsia="he-IL"/>
        </w:rPr>
        <w:t xml:space="preserve"> שמתקיים בו חשש</w:t>
      </w:r>
      <w:r w:rsidR="00784DFD" w:rsidRPr="00871C2C">
        <w:rPr>
          <w:rFonts w:eastAsia="Times New Roman" w:hint="cs"/>
          <w:rtl/>
          <w:lang w:eastAsia="he-IL"/>
        </w:rPr>
        <w:t xml:space="preserve"> </w:t>
      </w:r>
      <w:r w:rsidR="00F9717A" w:rsidRPr="00871C2C">
        <w:rPr>
          <w:rFonts w:eastAsia="Times New Roman" w:hint="cs"/>
          <w:rtl/>
          <w:lang w:eastAsia="he-IL"/>
        </w:rPr>
        <w:t>לתיאום בין השחקנים הפועלים בו</w:t>
      </w:r>
      <w:r w:rsidR="00446909" w:rsidRPr="00871C2C">
        <w:rPr>
          <w:rFonts w:eastAsia="Times New Roman" w:hint="cs"/>
          <w:rtl/>
          <w:lang w:eastAsia="he-IL"/>
        </w:rPr>
        <w:t>;</w:t>
      </w:r>
      <w:r w:rsidR="00784DFD" w:rsidRPr="00871C2C">
        <w:rPr>
          <w:rFonts w:eastAsia="Times New Roman" w:hint="cs"/>
          <w:rtl/>
          <w:lang w:eastAsia="he-IL"/>
        </w:rPr>
        <w:t xml:space="preserve"> </w:t>
      </w:r>
      <w:r w:rsidR="004365F0" w:rsidRPr="00871C2C">
        <w:rPr>
          <w:rFonts w:eastAsia="Times New Roman" w:hint="cs"/>
          <w:rtl/>
          <w:lang w:eastAsia="he-IL"/>
        </w:rPr>
        <w:t xml:space="preserve">והשני, שההסדר נדרש לצורך </w:t>
      </w:r>
      <w:r w:rsidR="00F9717A" w:rsidRPr="00871C2C">
        <w:rPr>
          <w:rFonts w:eastAsia="Times New Roman" w:hint="cs"/>
          <w:rtl/>
          <w:lang w:eastAsia="he-IL"/>
        </w:rPr>
        <w:t xml:space="preserve">קידום </w:t>
      </w:r>
      <w:r w:rsidR="004365F0" w:rsidRPr="00871C2C">
        <w:rPr>
          <w:rFonts w:eastAsia="Times New Roman" w:hint="cs"/>
          <w:rtl/>
          <w:lang w:eastAsia="he-IL"/>
        </w:rPr>
        <w:t>ה</w:t>
      </w:r>
      <w:r w:rsidR="00465831" w:rsidRPr="00871C2C">
        <w:rPr>
          <w:rFonts w:eastAsia="Times New Roman" w:hint="cs"/>
          <w:rtl/>
          <w:lang w:eastAsia="he-IL"/>
        </w:rPr>
        <w:t xml:space="preserve">תחרות </w:t>
      </w:r>
      <w:r w:rsidR="004365F0" w:rsidRPr="00871C2C">
        <w:rPr>
          <w:rFonts w:eastAsia="Times New Roman" w:hint="cs"/>
          <w:rtl/>
          <w:lang w:eastAsia="he-IL"/>
        </w:rPr>
        <w:t>הבין-מותגית</w:t>
      </w:r>
      <w:r w:rsidR="00F9717A" w:rsidRPr="00871C2C">
        <w:rPr>
          <w:rFonts w:eastAsia="Times New Roman" w:hint="cs"/>
          <w:rtl/>
          <w:lang w:eastAsia="he-IL"/>
        </w:rPr>
        <w:t>,</w:t>
      </w:r>
      <w:r w:rsidR="004365F0" w:rsidRPr="00871C2C">
        <w:rPr>
          <w:rFonts w:eastAsia="Times New Roman" w:hint="cs"/>
          <w:rtl/>
          <w:lang w:eastAsia="he-IL"/>
        </w:rPr>
        <w:t xml:space="preserve"> </w:t>
      </w:r>
      <w:r w:rsidR="00465831" w:rsidRPr="00871C2C">
        <w:rPr>
          <w:rFonts w:eastAsia="Times New Roman" w:hint="cs"/>
          <w:rtl/>
          <w:lang w:eastAsia="he-IL"/>
        </w:rPr>
        <w:t>באופן המ</w:t>
      </w:r>
      <w:r w:rsidR="00F9717A" w:rsidRPr="00871C2C">
        <w:rPr>
          <w:rFonts w:eastAsia="Times New Roman" w:hint="cs"/>
          <w:rtl/>
          <w:lang w:eastAsia="he-IL"/>
        </w:rPr>
        <w:t>י</w:t>
      </w:r>
      <w:r w:rsidR="00465831" w:rsidRPr="00871C2C">
        <w:rPr>
          <w:rFonts w:eastAsia="Times New Roman" w:hint="cs"/>
          <w:rtl/>
          <w:lang w:eastAsia="he-IL"/>
        </w:rPr>
        <w:t xml:space="preserve">טיב עם ציבור הצרכנים. </w:t>
      </w:r>
      <w:r w:rsidR="00730996" w:rsidRPr="00871C2C">
        <w:rPr>
          <w:rFonts w:eastAsia="Times New Roman" w:hint="cs"/>
          <w:rtl/>
          <w:lang w:eastAsia="he-IL"/>
        </w:rPr>
        <w:t xml:space="preserve">ככל שמאפייני השוק </w:t>
      </w:r>
      <w:r w:rsidR="00C32A12" w:rsidRPr="00871C2C">
        <w:rPr>
          <w:rFonts w:eastAsia="Times New Roman" w:hint="cs"/>
          <w:rtl/>
          <w:lang w:eastAsia="he-IL"/>
        </w:rPr>
        <w:t>מצביעים על מידה פחותה של תחרות בשוק</w:t>
      </w:r>
      <w:r w:rsidR="00730996" w:rsidRPr="00871C2C">
        <w:rPr>
          <w:rFonts w:eastAsia="Times New Roman" w:hint="cs"/>
          <w:rtl/>
          <w:lang w:eastAsia="he-IL"/>
        </w:rPr>
        <w:t>, כך תידרש הצדקה מובהקת יותר ומשמעותית יותר, הנובעת ב</w:t>
      </w:r>
      <w:r w:rsidR="00730996" w:rsidRPr="00871C2C">
        <w:rPr>
          <w:rFonts w:eastAsia="Times New Roman" w:hint="cs"/>
          <w:b/>
          <w:bCs/>
          <w:rtl/>
          <w:lang w:eastAsia="he-IL"/>
        </w:rPr>
        <w:t>אופן ישיר וקונקרטי</w:t>
      </w:r>
      <w:r w:rsidR="00730996" w:rsidRPr="00871C2C">
        <w:rPr>
          <w:rFonts w:eastAsia="Times New Roman" w:hint="cs"/>
          <w:rtl/>
          <w:lang w:eastAsia="he-IL"/>
        </w:rPr>
        <w:t xml:space="preserve"> מהסדר ה-</w:t>
      </w:r>
      <w:r w:rsidR="00730996" w:rsidRPr="00871C2C">
        <w:rPr>
          <w:rFonts w:eastAsia="Times New Roman"/>
          <w:lang w:eastAsia="he-IL"/>
        </w:rPr>
        <w:t>RPM</w:t>
      </w:r>
      <w:r w:rsidR="00730996" w:rsidRPr="00871C2C">
        <w:rPr>
          <w:rFonts w:eastAsia="Times New Roman" w:hint="cs"/>
          <w:rtl/>
          <w:lang w:eastAsia="he-IL"/>
        </w:rPr>
        <w:t>.</w:t>
      </w:r>
      <w:r w:rsidR="00313EBB" w:rsidRPr="00871C2C">
        <w:rPr>
          <w:rFonts w:eastAsia="Times New Roman" w:hint="cs"/>
          <w:rtl/>
          <w:lang w:eastAsia="he-IL"/>
        </w:rPr>
        <w:t xml:space="preserve"> באשר להסדרים אשר אינם נוגעים למקטע הקמעונאי, סיווגם כהסדרים כובלים יהיה בהתאם לאופי היחסים שבין הספק לבין המפיץ וכפי שהורחב לעיל.</w:t>
      </w:r>
    </w:p>
    <w:p w14:paraId="5C2EBB11" w14:textId="77777777" w:rsidR="00CD2357" w:rsidRDefault="00CD2357" w:rsidP="00E2375E">
      <w:pPr>
        <w:tabs>
          <w:tab w:val="left" w:pos="374"/>
        </w:tabs>
        <w:spacing w:before="120" w:after="120" w:line="360" w:lineRule="exact"/>
        <w:jc w:val="both"/>
        <w:rPr>
          <w:rFonts w:eastAsia="Times New Roman"/>
          <w:rtl/>
          <w:lang w:eastAsia="he-IL"/>
        </w:rPr>
      </w:pPr>
    </w:p>
    <w:p w14:paraId="204F77B2" w14:textId="77777777" w:rsidR="00CD2357" w:rsidRDefault="00CD2357" w:rsidP="00CD2357">
      <w:pPr>
        <w:pStyle w:val="ListParagraph"/>
        <w:spacing w:before="120" w:after="120" w:line="360" w:lineRule="auto"/>
        <w:ind w:left="-199"/>
        <w:contextualSpacing w:val="0"/>
        <w:jc w:val="both"/>
        <w:rPr>
          <w:rtl/>
        </w:rPr>
      </w:pPr>
    </w:p>
    <w:p w14:paraId="23AF9BBE" w14:textId="77777777" w:rsidR="00CD2357" w:rsidRDefault="00CD2357" w:rsidP="00CD2357">
      <w:pPr>
        <w:spacing w:before="120" w:after="120" w:line="360" w:lineRule="auto"/>
        <w:ind w:left="4910"/>
        <w:jc w:val="center"/>
        <w:rPr>
          <w:rtl/>
        </w:rPr>
      </w:pPr>
      <w:r>
        <w:rPr>
          <w:rFonts w:hint="cs"/>
          <w:rtl/>
        </w:rPr>
        <w:t>מיכל הלפרין</w:t>
      </w:r>
    </w:p>
    <w:p w14:paraId="22F684B8" w14:textId="77777777" w:rsidR="00CD2357" w:rsidRDefault="00CD2357" w:rsidP="00CD2357">
      <w:pPr>
        <w:spacing w:before="120" w:after="120" w:line="360" w:lineRule="auto"/>
        <w:ind w:left="4910"/>
        <w:jc w:val="center"/>
        <w:rPr>
          <w:rtl/>
        </w:rPr>
      </w:pPr>
    </w:p>
    <w:p w14:paraId="664E3F43" w14:textId="77777777" w:rsidR="00CD2357" w:rsidRDefault="00CD2357" w:rsidP="00CD2357">
      <w:pPr>
        <w:spacing w:before="120" w:after="120" w:line="360" w:lineRule="auto"/>
        <w:ind w:left="4910"/>
        <w:jc w:val="center"/>
        <w:rPr>
          <w:rtl/>
        </w:rPr>
      </w:pPr>
      <w:r>
        <w:rPr>
          <w:rFonts w:hint="cs"/>
          <w:rtl/>
        </w:rPr>
        <w:t>הממונה על הגבלים עסקיים</w:t>
      </w:r>
    </w:p>
    <w:p w14:paraId="62DDE4EC" w14:textId="77777777" w:rsidR="00CD2357" w:rsidRDefault="00CD2357" w:rsidP="00CD2357">
      <w:pPr>
        <w:spacing w:before="120" w:after="120" w:line="360" w:lineRule="auto"/>
        <w:ind w:left="-199"/>
        <w:jc w:val="both"/>
        <w:rPr>
          <w:rtl/>
        </w:rPr>
      </w:pPr>
    </w:p>
    <w:p w14:paraId="36871C96" w14:textId="35053E11" w:rsidR="00CD2357" w:rsidRDefault="00CD2357" w:rsidP="00CD2357">
      <w:pPr>
        <w:spacing w:before="120" w:after="120" w:line="240" w:lineRule="auto"/>
        <w:ind w:left="-199"/>
        <w:jc w:val="both"/>
        <w:rPr>
          <w:rtl/>
        </w:rPr>
      </w:pPr>
      <w:r>
        <w:rPr>
          <w:rFonts w:hint="cs"/>
          <w:rtl/>
        </w:rPr>
        <w:t>ירושלים, ד' בתמוז התשע"ז</w:t>
      </w:r>
    </w:p>
    <w:p w14:paraId="0764D910" w14:textId="38007419" w:rsidR="00CD2357" w:rsidRPr="007B4950" w:rsidRDefault="00CD2357" w:rsidP="001E6277">
      <w:pPr>
        <w:spacing w:before="120" w:after="120" w:line="240" w:lineRule="auto"/>
        <w:ind w:left="608"/>
        <w:jc w:val="both"/>
        <w:rPr>
          <w:rtl/>
        </w:rPr>
      </w:pPr>
      <w:r>
        <w:rPr>
          <w:rFonts w:hint="cs"/>
          <w:rtl/>
        </w:rPr>
        <w:t>28 ביוני 2017</w:t>
      </w:r>
    </w:p>
    <w:p w14:paraId="07CB60DB" w14:textId="77777777" w:rsidR="00CD2357" w:rsidRPr="00871C2C" w:rsidRDefault="00CD2357" w:rsidP="00E2375E">
      <w:pPr>
        <w:tabs>
          <w:tab w:val="left" w:pos="374"/>
        </w:tabs>
        <w:spacing w:before="120" w:after="120" w:line="360" w:lineRule="exact"/>
        <w:jc w:val="both"/>
        <w:rPr>
          <w:rFonts w:eastAsia="Times New Roman"/>
          <w:rtl/>
          <w:lang w:eastAsia="he-IL"/>
        </w:rPr>
      </w:pPr>
    </w:p>
    <w:sectPr w:rsidR="00CD2357" w:rsidRPr="00871C2C" w:rsidSect="00FC2F88">
      <w:headerReference w:type="even" r:id="rId8"/>
      <w:headerReference w:type="default" r:id="rId9"/>
      <w:headerReference w:type="first" r:id="rId10"/>
      <w:footerReference w:type="first" r:id="rId11"/>
      <w:pgSz w:w="11906" w:h="16838"/>
      <w:pgMar w:top="1440" w:right="1800" w:bottom="1440" w:left="1985"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BD3ED" w14:textId="77777777" w:rsidR="00923582" w:rsidRDefault="00923582" w:rsidP="00E7597B">
      <w:pPr>
        <w:spacing w:after="0" w:line="240" w:lineRule="auto"/>
      </w:pPr>
      <w:r>
        <w:separator/>
      </w:r>
    </w:p>
  </w:endnote>
  <w:endnote w:type="continuationSeparator" w:id="0">
    <w:p w14:paraId="41082407" w14:textId="77777777" w:rsidR="00923582" w:rsidRDefault="00923582" w:rsidP="00E75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4C891" w14:textId="77777777" w:rsidR="00923582" w:rsidRDefault="00923582" w:rsidP="00E472BE">
    <w:pPr>
      <w:pStyle w:val="Footer"/>
      <w:jc w:val="center"/>
      <w:rPr>
        <w:rtl/>
        <w:cs/>
      </w:rPr>
    </w:pPr>
  </w:p>
  <w:p w14:paraId="743F2429" w14:textId="77777777" w:rsidR="00923582" w:rsidRDefault="00923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4CB63" w14:textId="77777777" w:rsidR="00923582" w:rsidRDefault="00923582" w:rsidP="00E7597B">
      <w:pPr>
        <w:spacing w:after="0" w:line="240" w:lineRule="auto"/>
      </w:pPr>
      <w:r>
        <w:separator/>
      </w:r>
    </w:p>
  </w:footnote>
  <w:footnote w:type="continuationSeparator" w:id="0">
    <w:p w14:paraId="3B235069" w14:textId="77777777" w:rsidR="00923582" w:rsidRDefault="00923582" w:rsidP="00E7597B">
      <w:pPr>
        <w:spacing w:after="0" w:line="240" w:lineRule="auto"/>
      </w:pPr>
      <w:r>
        <w:continuationSeparator/>
      </w:r>
    </w:p>
  </w:footnote>
  <w:footnote w:id="1">
    <w:p w14:paraId="14F80419" w14:textId="1DAA30C8" w:rsidR="00923582" w:rsidRPr="005670B1" w:rsidRDefault="00923582" w:rsidP="00EC58DE">
      <w:pPr>
        <w:pStyle w:val="FootnoteText"/>
        <w:rPr>
          <w:rtl/>
        </w:rPr>
      </w:pPr>
      <w:r w:rsidRPr="005670B1">
        <w:rPr>
          <w:rStyle w:val="FootnoteReference"/>
        </w:rPr>
        <w:footnoteRef/>
      </w:r>
      <w:r w:rsidRPr="005670B1">
        <w:rPr>
          <w:rtl/>
        </w:rPr>
        <w:t xml:space="preserve"> ע"פ 5823/14 שופרסל בע"מ נ' מדינת ישראל (10.8.2015) </w:t>
      </w:r>
      <w:r w:rsidRPr="005670B1">
        <w:rPr>
          <w:b/>
          <w:bCs/>
          <w:rtl/>
        </w:rPr>
        <w:t xml:space="preserve">הגבלים עסקיים </w:t>
      </w:r>
      <w:r w:rsidRPr="005670B1">
        <w:rPr>
          <w:rtl/>
        </w:rPr>
        <w:t>500841, להלן "</w:t>
      </w:r>
      <w:r w:rsidRPr="005670B1">
        <w:rPr>
          <w:b/>
          <w:bCs/>
          <w:rtl/>
        </w:rPr>
        <w:t>פרשת שופרסל</w:t>
      </w:r>
      <w:r w:rsidRPr="005670B1">
        <w:rPr>
          <w:rtl/>
        </w:rPr>
        <w:t>".</w:t>
      </w:r>
    </w:p>
  </w:footnote>
  <w:footnote w:id="2">
    <w:p w14:paraId="66FDED3E" w14:textId="548A94F6" w:rsidR="00923582" w:rsidRPr="005670B1" w:rsidRDefault="00923582" w:rsidP="00EC58DE">
      <w:pPr>
        <w:pStyle w:val="FootnoteText"/>
      </w:pPr>
      <w:r w:rsidRPr="005670B1">
        <w:rPr>
          <w:vertAlign w:val="superscript"/>
        </w:rPr>
        <w:footnoteRef/>
      </w:r>
      <w:r w:rsidRPr="005670B1">
        <w:rPr>
          <w:rtl/>
        </w:rPr>
        <w:t xml:space="preserve"> כללי ההגבלים העסקיים (פטור סוג להסדרים שאינם אופקיים ואין בהם כבילות מחיר מסוימות), התשע"ג- 2013, ק"ת 1549, תוקנו ק"ת תשע"ו 2255.</w:t>
      </w:r>
    </w:p>
  </w:footnote>
  <w:footnote w:id="3">
    <w:p w14:paraId="681709C3" w14:textId="37B658A7" w:rsidR="003D42CC" w:rsidRPr="005670B1" w:rsidRDefault="003D42CC" w:rsidP="003D42CC">
      <w:pPr>
        <w:pStyle w:val="FootnoteText"/>
        <w:rPr>
          <w:rtl/>
        </w:rPr>
      </w:pPr>
      <w:r w:rsidRPr="005670B1">
        <w:rPr>
          <w:rStyle w:val="FootnoteReference"/>
        </w:rPr>
        <w:footnoteRef/>
      </w:r>
      <w:r w:rsidRPr="005670B1">
        <w:rPr>
          <w:rtl/>
        </w:rPr>
        <w:t xml:space="preserve"> פסק הדין הותיר ללא הכרעה את השאלה, האם יש להותיר פתח צר המאפשר להחיל את החזקות החלוטות הקבועות בסעיף 2(ב) גם על הסדרים אנכיים חריגים במיוחד. אולם נדמה כי גם לפי העמדה שגורסת שיש להותיר פתח כאמור, ההסדרים </w:t>
      </w:r>
      <w:r w:rsidR="00A836DA" w:rsidRPr="005670B1">
        <w:rPr>
          <w:rFonts w:hint="cs"/>
          <w:rtl/>
        </w:rPr>
        <w:t>א</w:t>
      </w:r>
      <w:r w:rsidRPr="005670B1">
        <w:rPr>
          <w:rtl/>
        </w:rPr>
        <w:t>ל</w:t>
      </w:r>
      <w:r w:rsidR="00A836DA" w:rsidRPr="005670B1">
        <w:rPr>
          <w:rFonts w:hint="cs"/>
          <w:rtl/>
        </w:rPr>
        <w:t>י</w:t>
      </w:r>
      <w:r w:rsidRPr="005670B1">
        <w:rPr>
          <w:rtl/>
        </w:rPr>
        <w:t xml:space="preserve">הם כיוון בית המשפט העליון לא היו דווקא הסדרי </w:t>
      </w:r>
      <w:r w:rsidRPr="005670B1">
        <w:t>RPM</w:t>
      </w:r>
      <w:r w:rsidRPr="005670B1">
        <w:rPr>
          <w:rtl/>
        </w:rPr>
        <w:t>, כפי שיורחב בפרק הבא.</w:t>
      </w:r>
    </w:p>
  </w:footnote>
  <w:footnote w:id="4">
    <w:p w14:paraId="2B894AD2" w14:textId="5730513C" w:rsidR="00923582" w:rsidRPr="005670B1" w:rsidRDefault="00923582" w:rsidP="00CD407F">
      <w:pPr>
        <w:pStyle w:val="FootnoteText"/>
      </w:pPr>
      <w:r w:rsidRPr="005670B1">
        <w:rPr>
          <w:rStyle w:val="FootnoteReference"/>
        </w:rPr>
        <w:footnoteRef/>
      </w:r>
      <w:r w:rsidRPr="005670B1">
        <w:rPr>
          <w:rtl/>
        </w:rPr>
        <w:t xml:space="preserve"> עניינו של גילוי דעת זה בבחינת הסדרי </w:t>
      </w:r>
      <w:r w:rsidRPr="005670B1">
        <w:t>RPM</w:t>
      </w:r>
      <w:r w:rsidRPr="005670B1">
        <w:rPr>
          <w:rtl/>
        </w:rPr>
        <w:t xml:space="preserve"> בראי חוק ההגבלים העסקיים בלבד, ואין בו משום התייחסות למעמדם של הסדרים אלה לפי חוק קידום התחרות בענף המזון, התשע"ד-2014 או לגרוע מתחולתו.</w:t>
      </w:r>
    </w:p>
  </w:footnote>
  <w:footnote w:id="5">
    <w:p w14:paraId="1865DC3F" w14:textId="388B7C3A" w:rsidR="00A11044" w:rsidRPr="005670B1" w:rsidRDefault="00A11044" w:rsidP="0016689B">
      <w:pPr>
        <w:pStyle w:val="FootnoteText"/>
      </w:pPr>
      <w:r w:rsidRPr="005670B1">
        <w:rPr>
          <w:rStyle w:val="FootnoteReference"/>
        </w:rPr>
        <w:footnoteRef/>
      </w:r>
      <w:r w:rsidRPr="005670B1">
        <w:rPr>
          <w:rtl/>
        </w:rPr>
        <w:t xml:space="preserve"> </w:t>
      </w:r>
      <w:r w:rsidR="00EC58DE" w:rsidRPr="005670B1">
        <w:rPr>
          <w:rtl/>
        </w:rPr>
        <w:t>ראו למשל</w:t>
      </w:r>
      <w:r w:rsidR="0016689B" w:rsidRPr="005670B1">
        <w:rPr>
          <w:rFonts w:hint="cs"/>
          <w:rtl/>
        </w:rPr>
        <w:t xml:space="preserve"> הכרעת הדין</w:t>
      </w:r>
      <w:r w:rsidR="00EC58DE" w:rsidRPr="005670B1">
        <w:rPr>
          <w:rtl/>
        </w:rPr>
        <w:t xml:space="preserve"> </w:t>
      </w:r>
      <w:r w:rsidR="0016689B" w:rsidRPr="005670B1">
        <w:rPr>
          <w:rFonts w:hint="cs"/>
          <w:rtl/>
        </w:rPr>
        <w:t>ב</w:t>
      </w:r>
      <w:r w:rsidR="00EC58DE" w:rsidRPr="005670B1">
        <w:rPr>
          <w:rtl/>
        </w:rPr>
        <w:t xml:space="preserve">ת"פ 1274/00 </w:t>
      </w:r>
      <w:r w:rsidR="00EC58DE" w:rsidRPr="005670B1">
        <w:rPr>
          <w:b/>
          <w:bCs/>
          <w:rtl/>
        </w:rPr>
        <w:t xml:space="preserve">מדינת ישראל נ' </w:t>
      </w:r>
      <w:r w:rsidRPr="005670B1">
        <w:rPr>
          <w:b/>
          <w:bCs/>
          <w:rtl/>
        </w:rPr>
        <w:t>מודגל</w:t>
      </w:r>
      <w:r w:rsidR="00EC58DE" w:rsidRPr="005670B1">
        <w:rPr>
          <w:rtl/>
        </w:rPr>
        <w:t xml:space="preserve"> (22.3.2010) </w:t>
      </w:r>
      <w:r w:rsidR="00EC58DE" w:rsidRPr="005670B1">
        <w:rPr>
          <w:b/>
          <w:bCs/>
          <w:rtl/>
        </w:rPr>
        <w:t xml:space="preserve">הגבלים עסקיים </w:t>
      </w:r>
      <w:r w:rsidR="00EC58DE" w:rsidRPr="005670B1">
        <w:rPr>
          <w:rtl/>
        </w:rPr>
        <w:t>5001596, בו נקבע:</w:t>
      </w:r>
      <w:r w:rsidRPr="005670B1">
        <w:rPr>
          <w:rtl/>
        </w:rPr>
        <w:t xml:space="preserve"> "אומר כבר כאן, כי גם אם הנאשמים מתארים נכון את תכונות העיקרית של הקשר בין מודגל לכל אחד מהם כקשר אנכי, אין ספק כי מדובר בהתמקדות בחלק אחד של התמונה, תוך החמצת עיקריה. חלקה האחר והחשוב של התמונה, בכל הנוגע להסדרים הנטענים, הוא הקשר </w:t>
      </w:r>
      <w:r w:rsidRPr="005670B1">
        <w:rPr>
          <w:b/>
          <w:bCs/>
          <w:rtl/>
        </w:rPr>
        <w:t xml:space="preserve">האופקי </w:t>
      </w:r>
      <w:r w:rsidRPr="005670B1">
        <w:rPr>
          <w:rtl/>
        </w:rPr>
        <w:t xml:space="preserve">הקיים </w:t>
      </w:r>
      <w:r w:rsidRPr="005670B1">
        <w:rPr>
          <w:b/>
          <w:bCs/>
          <w:rtl/>
        </w:rPr>
        <w:t>בין המשווקים לבין עצמם</w:t>
      </w:r>
      <w:r w:rsidR="00326CD3" w:rsidRPr="005670B1">
        <w:rPr>
          <w:rtl/>
        </w:rPr>
        <w:t>.</w:t>
      </w:r>
      <w:r w:rsidR="00817DBC" w:rsidRPr="005670B1">
        <w:rPr>
          <w:rtl/>
        </w:rPr>
        <w:t>.</w:t>
      </w:r>
      <w:r w:rsidR="00EC58DE" w:rsidRPr="005670B1">
        <w:rPr>
          <w:rtl/>
        </w:rPr>
        <w:t>." (פס' 22</w:t>
      </w:r>
      <w:r w:rsidR="00535CD3">
        <w:rPr>
          <w:rFonts w:hint="cs"/>
          <w:rtl/>
        </w:rPr>
        <w:t>, הדגשות במקור</w:t>
      </w:r>
      <w:r w:rsidR="00EC58DE" w:rsidRPr="005670B1">
        <w:rPr>
          <w:rtl/>
        </w:rPr>
        <w:t>)</w:t>
      </w:r>
      <w:r w:rsidR="0065677F" w:rsidRPr="005670B1">
        <w:rPr>
          <w:rtl/>
        </w:rPr>
        <w:t>;</w:t>
      </w:r>
      <w:r w:rsidR="00EC58DE" w:rsidRPr="005670B1">
        <w:rPr>
          <w:rtl/>
        </w:rPr>
        <w:t xml:space="preserve"> וכן </w:t>
      </w:r>
      <w:r w:rsidR="0016689B" w:rsidRPr="005670B1">
        <w:rPr>
          <w:rFonts w:hint="cs"/>
          <w:rtl/>
        </w:rPr>
        <w:t>הכרעת הדין ב</w:t>
      </w:r>
      <w:r w:rsidRPr="005670B1">
        <w:rPr>
          <w:rtl/>
        </w:rPr>
        <w:t xml:space="preserve">ת"פ 1142/01 </w:t>
      </w:r>
      <w:r w:rsidRPr="005670B1">
        <w:rPr>
          <w:b/>
          <w:bCs/>
          <w:rtl/>
        </w:rPr>
        <w:t>מדינת ישראל נ' שולשטיין</w:t>
      </w:r>
      <w:r w:rsidRPr="005670B1">
        <w:rPr>
          <w:rtl/>
        </w:rPr>
        <w:t xml:space="preserve"> (2.11.2008) </w:t>
      </w:r>
      <w:r w:rsidRPr="005670B1">
        <w:rPr>
          <w:b/>
          <w:bCs/>
          <w:rtl/>
        </w:rPr>
        <w:t>הגבלים עסקיים</w:t>
      </w:r>
      <w:r w:rsidRPr="005670B1">
        <w:rPr>
          <w:rtl/>
        </w:rPr>
        <w:t xml:space="preserve"> 5001304</w:t>
      </w:r>
      <w:r w:rsidR="00EC58DE" w:rsidRPr="005670B1">
        <w:rPr>
          <w:rtl/>
        </w:rPr>
        <w:t xml:space="preserve">, בו </w:t>
      </w:r>
      <w:r w:rsidR="0065677F" w:rsidRPr="005670B1">
        <w:rPr>
          <w:rtl/>
        </w:rPr>
        <w:t>נקבע</w:t>
      </w:r>
      <w:r w:rsidR="00EC58DE" w:rsidRPr="005670B1">
        <w:rPr>
          <w:rtl/>
        </w:rPr>
        <w:t>:</w:t>
      </w:r>
      <w:r w:rsidRPr="005670B1">
        <w:rPr>
          <w:rtl/>
        </w:rPr>
        <w:t xml:space="preserve"> "ההסדר שבו עוסק כתב האישום אינו אנכי בלבד. משמעותו האופקית ברורה: הראיות מלמדות, כפי שיפורט להלן, כי טמבור פעלה כך לשמירת אינטרס "הטמבוריות", שגם הן משווקות את הצבעים – והיו בבחינת רשת השיווק שלה – ודאגה לצורך זה ליישור קו מחירים אחד בינן לבין כל הרשתות. בדרך כזו נוצר </w:t>
      </w:r>
      <w:r w:rsidRPr="005670B1">
        <w:rPr>
          <w:b/>
          <w:bCs/>
          <w:rtl/>
        </w:rPr>
        <w:t>תיאום מחירים אופקי</w:t>
      </w:r>
      <w:r w:rsidR="00535CD3">
        <w:rPr>
          <w:rtl/>
        </w:rPr>
        <w:t>." (פס' 36</w:t>
      </w:r>
      <w:r w:rsidR="00535CD3">
        <w:rPr>
          <w:rFonts w:hint="cs"/>
          <w:rtl/>
        </w:rPr>
        <w:t>, הדגשות במקור)</w:t>
      </w:r>
      <w:r w:rsidR="0016689B" w:rsidRPr="005670B1">
        <w:rPr>
          <w:rFonts w:hint="cs"/>
          <w:rtl/>
        </w:rPr>
        <w:t>.</w:t>
      </w:r>
    </w:p>
  </w:footnote>
  <w:footnote w:id="6">
    <w:p w14:paraId="32975D5F" w14:textId="51F8C8CB" w:rsidR="00923582" w:rsidRPr="005670B1" w:rsidRDefault="00923582" w:rsidP="00EC58DE">
      <w:pPr>
        <w:pStyle w:val="FootnoteText"/>
        <w:rPr>
          <w:rtl/>
        </w:rPr>
      </w:pPr>
      <w:r w:rsidRPr="005670B1">
        <w:rPr>
          <w:rStyle w:val="FootnoteReference"/>
        </w:rPr>
        <w:footnoteRef/>
      </w:r>
      <w:r w:rsidRPr="005670B1">
        <w:rPr>
          <w:rtl/>
        </w:rPr>
        <w:t xml:space="preserve"> דנ"א 4465/98 </w:t>
      </w:r>
      <w:r w:rsidRPr="005670B1">
        <w:rPr>
          <w:b/>
          <w:bCs/>
          <w:rtl/>
        </w:rPr>
        <w:t>טבעול (1993) בע"מ נ' שף-הים (1994) בע"מ</w:t>
      </w:r>
      <w:r w:rsidRPr="005670B1">
        <w:rPr>
          <w:rtl/>
        </w:rPr>
        <w:t>, פ"ד נו(1) 56, 98-94 (2001), להלן: "</w:t>
      </w:r>
      <w:r w:rsidRPr="005670B1">
        <w:rPr>
          <w:b/>
          <w:bCs/>
          <w:rtl/>
        </w:rPr>
        <w:t>פרשת טבעול</w:t>
      </w:r>
      <w:r w:rsidRPr="005670B1">
        <w:rPr>
          <w:rtl/>
        </w:rPr>
        <w:t>". ראו גם ע"פ</w:t>
      </w:r>
      <w:r w:rsidRPr="005670B1">
        <w:rPr>
          <w:b/>
          <w:bCs/>
          <w:rtl/>
        </w:rPr>
        <w:t xml:space="preserve"> </w:t>
      </w:r>
      <w:r w:rsidRPr="005670B1">
        <w:rPr>
          <w:rtl/>
        </w:rPr>
        <w:t>4855/02</w:t>
      </w:r>
      <w:r w:rsidRPr="005670B1">
        <w:rPr>
          <w:b/>
          <w:bCs/>
          <w:rtl/>
        </w:rPr>
        <w:t xml:space="preserve"> מדינת ישראל נ' בורוביץ</w:t>
      </w:r>
      <w:r w:rsidRPr="005670B1">
        <w:rPr>
          <w:rtl/>
        </w:rPr>
        <w:t xml:space="preserve">, פ"ד נט(6) 776, ע"פ 845/02‏‏ </w:t>
      </w:r>
      <w:r w:rsidRPr="005670B1">
        <w:rPr>
          <w:b/>
          <w:bCs/>
          <w:rtl/>
        </w:rPr>
        <w:t>מדינת ישראל נ' תנובה מרכז שיתופי לשיווק תוצרת חקלאית לישראל בע"מ</w:t>
      </w:r>
      <w:r w:rsidRPr="005670B1">
        <w:rPr>
          <w:rtl/>
        </w:rPr>
        <w:t>, פ''ד סב(3) 307 ועוד.</w:t>
      </w:r>
    </w:p>
  </w:footnote>
  <w:footnote w:id="7">
    <w:p w14:paraId="6A5E8601" w14:textId="6C759205" w:rsidR="00923582" w:rsidRPr="005670B1" w:rsidRDefault="00923582" w:rsidP="00535CD3">
      <w:pPr>
        <w:pStyle w:val="FootnoteText"/>
      </w:pPr>
      <w:r w:rsidRPr="005670B1">
        <w:rPr>
          <w:rStyle w:val="FootnoteReference"/>
        </w:rPr>
        <w:footnoteRef/>
      </w:r>
      <w:r w:rsidRPr="005670B1">
        <w:rPr>
          <w:rtl/>
        </w:rPr>
        <w:t xml:space="preserve"> בפרשת טבעול בית המשפט העליון קבע ברוב דעות שסעיף 2(ב) חל על כל הסדר הבא בגדרי המקרים המנויים בסעיף 2(ב) ושהמבחן הוא בעיקרו מבחן צורני. פסק הדין לא הבחין בין הסדרים אופקיים ואנכיים. אולם מאחר שפסק הדין ב</w:t>
      </w:r>
      <w:r w:rsidR="00535CD3">
        <w:rPr>
          <w:rFonts w:hint="cs"/>
          <w:rtl/>
        </w:rPr>
        <w:t xml:space="preserve">פרשת </w:t>
      </w:r>
      <w:r w:rsidRPr="005670B1">
        <w:rPr>
          <w:rtl/>
        </w:rPr>
        <w:t xml:space="preserve">טבעול ופסקי הדין שניתנו בעקבותיו עסקו בהסדרים שהם אופקיים באופיים, שאלת תחולת הלכת טבעול על הסדרים אנכיים לא </w:t>
      </w:r>
      <w:r w:rsidR="00E00D64" w:rsidRPr="005670B1">
        <w:rPr>
          <w:rFonts w:hint="cs"/>
          <w:rtl/>
        </w:rPr>
        <w:t>התבררה</w:t>
      </w:r>
      <w:r w:rsidRPr="005670B1">
        <w:rPr>
          <w:rtl/>
        </w:rPr>
        <w:t xml:space="preserve"> (ראו בפס' ע"ב לפסק דינו של המשנה לנשיאה, כב' השופט רובינשטיין בפרשת שופרסל).</w:t>
      </w:r>
    </w:p>
  </w:footnote>
  <w:footnote w:id="8">
    <w:p w14:paraId="63D5A883" w14:textId="559B7548" w:rsidR="00923582" w:rsidRPr="005670B1" w:rsidRDefault="00923582" w:rsidP="00996E8E">
      <w:pPr>
        <w:pStyle w:val="FootnoteText"/>
        <w:rPr>
          <w:rtl/>
        </w:rPr>
      </w:pPr>
      <w:r w:rsidRPr="005670B1">
        <w:rPr>
          <w:rStyle w:val="FootnoteReference"/>
        </w:rPr>
        <w:footnoteRef/>
      </w:r>
      <w:r w:rsidRPr="005670B1">
        <w:rPr>
          <w:rtl/>
        </w:rPr>
        <w:t xml:space="preserve"> ראו: דיויד גילה "האם ראוי לפרוץ את סכר ההסדרים הכובלים ולחסום את השיטפון בגדרות אד-הוק? הגיעה השעה לחצוץ בין הסדרים אופקיים לאנכיים" </w:t>
      </w:r>
      <w:r w:rsidRPr="005670B1">
        <w:rPr>
          <w:b/>
          <w:bCs/>
          <w:rtl/>
        </w:rPr>
        <w:t xml:space="preserve">עיוני משפט </w:t>
      </w:r>
      <w:r w:rsidRPr="005670B1">
        <w:rPr>
          <w:rtl/>
        </w:rPr>
        <w:t xml:space="preserve">כז(3) (2004), בעמ' 751; דיויד גילה וי' שפיגל "הסדרים אנכיים" </w:t>
      </w:r>
      <w:r w:rsidRPr="005670B1">
        <w:rPr>
          <w:b/>
          <w:bCs/>
          <w:rtl/>
        </w:rPr>
        <w:t>ניתוח משפטי וכלכלי של דיני ההגבלים העסקיים – כרך א'</w:t>
      </w:r>
      <w:r w:rsidRPr="005670B1">
        <w:rPr>
          <w:rtl/>
        </w:rPr>
        <w:t xml:space="preserve"> 323, 412-405 (תשס"ח-2008); דיויד גילה "תמורות בהתייחסות להסדרים כובלים אנכיים" </w:t>
      </w:r>
      <w:r w:rsidRPr="005670B1">
        <w:rPr>
          <w:b/>
          <w:bCs/>
          <w:rtl/>
        </w:rPr>
        <w:t xml:space="preserve">המשפט </w:t>
      </w:r>
      <w:r w:rsidRPr="005670B1">
        <w:rPr>
          <w:rtl/>
        </w:rPr>
        <w:t xml:space="preserve">י"ג (תשס"ט), 50; מ"ש גל, א' ישראלי ומ' פרלמן "הסדרים כובלים – יסודות האיסור" </w:t>
      </w:r>
      <w:r w:rsidRPr="005670B1">
        <w:rPr>
          <w:b/>
          <w:bCs/>
          <w:rtl/>
        </w:rPr>
        <w:t xml:space="preserve">ניתוח משפטי וכלכלי של דיני ההגבלים העסקיים </w:t>
      </w:r>
      <w:r w:rsidRPr="005670B1">
        <w:rPr>
          <w:rtl/>
        </w:rPr>
        <w:t xml:space="preserve">193, 290 (תשס"ח-2008); מיכל גל "לבור את המוץ מהתבן – היקף תחולתו של האיסור לערוך הסדר כובל בהתאם לפסיקה האחרונה" </w:t>
      </w:r>
      <w:r w:rsidRPr="005670B1">
        <w:rPr>
          <w:b/>
          <w:bCs/>
          <w:rtl/>
        </w:rPr>
        <w:t>דין ודברים</w:t>
      </w:r>
      <w:r w:rsidRPr="005670B1">
        <w:rPr>
          <w:rtl/>
        </w:rPr>
        <w:t xml:space="preserve"> א (התשס"ה). כן ראו בפס' עה-פג לפסק דינו של המשנה לנשיאה, כב' השופט רובנשטיין </w:t>
      </w:r>
      <w:r w:rsidR="00996E8E">
        <w:rPr>
          <w:rFonts w:hint="cs"/>
          <w:rtl/>
        </w:rPr>
        <w:t>בפרשת</w:t>
      </w:r>
      <w:r w:rsidRPr="005670B1">
        <w:rPr>
          <w:rtl/>
        </w:rPr>
        <w:t xml:space="preserve"> שופרסל.</w:t>
      </w:r>
    </w:p>
  </w:footnote>
  <w:footnote w:id="9">
    <w:p w14:paraId="7564456B" w14:textId="77777777" w:rsidR="00923582" w:rsidRPr="005670B1" w:rsidRDefault="00923582" w:rsidP="00EC58DE">
      <w:pPr>
        <w:pStyle w:val="FootnoteText"/>
        <w:rPr>
          <w:rtl/>
        </w:rPr>
      </w:pPr>
      <w:r w:rsidRPr="005670B1">
        <w:rPr>
          <w:rStyle w:val="FootnoteReference"/>
        </w:rPr>
        <w:footnoteRef/>
      </w:r>
      <w:r w:rsidRPr="005670B1">
        <w:rPr>
          <w:rtl/>
        </w:rPr>
        <w:t xml:space="preserve"> רע"א 6233/02 </w:t>
      </w:r>
      <w:r w:rsidRPr="005670B1">
        <w:rPr>
          <w:b/>
          <w:bCs/>
          <w:rtl/>
        </w:rPr>
        <w:t>אקסטיל בע"מ נ' קאלמא ווי תעשיה, שיווק אלומיניום זכוכית ופרזול בע"מ ואח'</w:t>
      </w:r>
      <w:r w:rsidRPr="005670B1">
        <w:rPr>
          <w:rtl/>
        </w:rPr>
        <w:t xml:space="preserve"> פד"י נח(2) 635. </w:t>
      </w:r>
    </w:p>
  </w:footnote>
  <w:footnote w:id="10">
    <w:p w14:paraId="4A4C9B22" w14:textId="145B163B" w:rsidR="00923582" w:rsidRPr="005670B1" w:rsidRDefault="00923582" w:rsidP="00EC58DE">
      <w:pPr>
        <w:pStyle w:val="FootnoteText"/>
      </w:pPr>
      <w:r w:rsidRPr="005670B1">
        <w:rPr>
          <w:rStyle w:val="FootnoteReference"/>
        </w:rPr>
        <w:footnoteRef/>
      </w:r>
      <w:r w:rsidRPr="005670B1">
        <w:rPr>
          <w:rtl/>
        </w:rPr>
        <w:t xml:space="preserve"> כללי ההגבלים העסקיים (פטור סוג להסכמי רכישה בלעדית) (הוראת שעה), התשס"א-2001, ק"ת 668, תיקון אחרון ק"ת תשע"ו 2253</w:t>
      </w:r>
      <w:r w:rsidR="00E063D2" w:rsidRPr="005670B1">
        <w:rPr>
          <w:rFonts w:hint="cs"/>
          <w:rtl/>
        </w:rPr>
        <w:t xml:space="preserve"> (להלן: "</w:t>
      </w:r>
      <w:r w:rsidR="00E063D2" w:rsidRPr="005670B1">
        <w:rPr>
          <w:rFonts w:hint="cs"/>
          <w:b/>
          <w:bCs/>
          <w:rtl/>
        </w:rPr>
        <w:t>פטור הסוג להסכמי רכישה בלעדית</w:t>
      </w:r>
      <w:r w:rsidR="00E063D2" w:rsidRPr="005670B1">
        <w:rPr>
          <w:rFonts w:hint="cs"/>
          <w:rtl/>
        </w:rPr>
        <w:t>")</w:t>
      </w:r>
      <w:r w:rsidRPr="005670B1">
        <w:rPr>
          <w:rtl/>
        </w:rPr>
        <w:t>.</w:t>
      </w:r>
    </w:p>
  </w:footnote>
  <w:footnote w:id="11">
    <w:p w14:paraId="77E8374C" w14:textId="13B02313" w:rsidR="00923582" w:rsidRPr="005670B1" w:rsidRDefault="00923582" w:rsidP="00E063D2">
      <w:pPr>
        <w:pStyle w:val="FootnoteText"/>
      </w:pPr>
      <w:r w:rsidRPr="005670B1">
        <w:rPr>
          <w:rStyle w:val="FootnoteReference"/>
        </w:rPr>
        <w:footnoteRef/>
      </w:r>
      <w:r w:rsidRPr="005670B1">
        <w:rPr>
          <w:rtl/>
        </w:rPr>
        <w:t xml:space="preserve"> כללי ההגבלים העסקיים (פטור סוג להסכמי הפצה בלעדית) (הוראת שעה), התשס"א-2001, ק"ת </w:t>
      </w:r>
      <w:r w:rsidR="00996E8E">
        <w:rPr>
          <w:rtl/>
        </w:rPr>
        <w:t>669, תיקון אחרון ק"ת תשע"ו 2256</w:t>
      </w:r>
      <w:r w:rsidR="00E063D2" w:rsidRPr="005670B1">
        <w:rPr>
          <w:rFonts w:hint="cs"/>
          <w:rtl/>
        </w:rPr>
        <w:t xml:space="preserve"> (להלן: "</w:t>
      </w:r>
      <w:r w:rsidR="00E063D2" w:rsidRPr="005670B1">
        <w:rPr>
          <w:rFonts w:hint="cs"/>
          <w:b/>
          <w:bCs/>
          <w:rtl/>
        </w:rPr>
        <w:t>פטור הסוג להסכמי הפצה בלעדית</w:t>
      </w:r>
      <w:r w:rsidR="00E063D2" w:rsidRPr="005670B1">
        <w:rPr>
          <w:rFonts w:hint="cs"/>
          <w:rtl/>
        </w:rPr>
        <w:t>")</w:t>
      </w:r>
      <w:r w:rsidR="00996E8E">
        <w:rPr>
          <w:rFonts w:hint="cs"/>
          <w:rtl/>
        </w:rPr>
        <w:t>.</w:t>
      </w:r>
    </w:p>
  </w:footnote>
  <w:footnote w:id="12">
    <w:p w14:paraId="229E578C" w14:textId="73D0AC0A" w:rsidR="00923582" w:rsidRPr="005670B1" w:rsidRDefault="00923582" w:rsidP="00EC58DE">
      <w:pPr>
        <w:pStyle w:val="FootnoteText"/>
      </w:pPr>
      <w:r w:rsidRPr="005670B1">
        <w:rPr>
          <w:rStyle w:val="FootnoteReference"/>
        </w:rPr>
        <w:footnoteRef/>
      </w:r>
      <w:r w:rsidRPr="005670B1">
        <w:rPr>
          <w:rtl/>
        </w:rPr>
        <w:t xml:space="preserve"> כללי ההגבלים העסקיים (פטור סוג להסכמי זכיינות) (הוראת שעה), התשס"א-2001, ק"ת 672; תיקון אחרון ק"ת תשע"ו 2251.</w:t>
      </w:r>
    </w:p>
  </w:footnote>
  <w:footnote w:id="13">
    <w:p w14:paraId="2F914FEE" w14:textId="105A4426" w:rsidR="00923582" w:rsidRPr="005670B1" w:rsidRDefault="00923582" w:rsidP="00EC58DE">
      <w:pPr>
        <w:pStyle w:val="FootnoteText"/>
      </w:pPr>
      <w:r w:rsidRPr="005670B1">
        <w:rPr>
          <w:rStyle w:val="FootnoteReference"/>
        </w:rPr>
        <w:footnoteRef/>
      </w:r>
      <w:r w:rsidRPr="005670B1">
        <w:rPr>
          <w:rtl/>
        </w:rPr>
        <w:t xml:space="preserve"> כללי ההגבלים העסקיים (פטור סוג להסכמים שפגיעתם בתחרות קלת ערך) (הוראת שעה), התשס"ו-2006, ק"ת 796; תיקון אחרון ק"ת תשע"ו 2251.</w:t>
      </w:r>
    </w:p>
  </w:footnote>
  <w:footnote w:id="14">
    <w:p w14:paraId="2EED6BD8" w14:textId="2637EC88" w:rsidR="00817DBC" w:rsidRPr="005670B1" w:rsidRDefault="00817DBC">
      <w:pPr>
        <w:pStyle w:val="FootnoteText"/>
      </w:pPr>
      <w:r w:rsidRPr="005670B1">
        <w:rPr>
          <w:rStyle w:val="FootnoteReference"/>
        </w:rPr>
        <w:footnoteRef/>
      </w:r>
      <w:r w:rsidRPr="005670B1">
        <w:rPr>
          <w:rtl/>
        </w:rPr>
        <w:t xml:space="preserve"> היינו שהכבילות שבהסדר אינן מגבילות את התחרות בחלק ניכר של שוק המושפע</w:t>
      </w:r>
      <w:r w:rsidR="00C46E13" w:rsidRPr="005670B1">
        <w:rPr>
          <w:rFonts w:hint="cs"/>
          <w:rtl/>
        </w:rPr>
        <w:t xml:space="preserve"> מן ההסדר</w:t>
      </w:r>
      <w:r w:rsidRPr="005670B1">
        <w:rPr>
          <w:rtl/>
        </w:rPr>
        <w:t xml:space="preserve"> או שאין בהן כדי לפגוע פגיעה משמעותית בתחרות בשוק כאמור, שעיקרו של ההסדר אינו בהפחתת התחרות או במניעתה ושאין בהסדר כבילות שאינן נחוצות למימוש עיקרו.</w:t>
      </w:r>
    </w:p>
  </w:footnote>
  <w:footnote w:id="15">
    <w:p w14:paraId="18996B48" w14:textId="77777777" w:rsidR="00923582" w:rsidRPr="005670B1" w:rsidRDefault="00923582" w:rsidP="00EC58DE">
      <w:pPr>
        <w:pStyle w:val="FootnoteText"/>
      </w:pPr>
      <w:r w:rsidRPr="005670B1">
        <w:rPr>
          <w:rStyle w:val="FootnoteReference"/>
        </w:rPr>
        <w:footnoteRef/>
      </w:r>
      <w:r w:rsidRPr="005670B1">
        <w:rPr>
          <w:rtl/>
        </w:rPr>
        <w:t xml:space="preserve"> הצעת חוק ההגבלים העסקים, ה"ח התשמ"ד-1983 1647 עמ' 42, מצוטט בפס' 5 לפסק דינו של כב' השופט הנדל.</w:t>
      </w:r>
    </w:p>
  </w:footnote>
  <w:footnote w:id="16">
    <w:p w14:paraId="0DAED413" w14:textId="4806DC71" w:rsidR="00923582" w:rsidRPr="005670B1" w:rsidRDefault="00923582" w:rsidP="00EC58DE">
      <w:pPr>
        <w:pStyle w:val="FootnoteText"/>
      </w:pPr>
      <w:r w:rsidRPr="005670B1">
        <w:rPr>
          <w:rStyle w:val="FootnoteReference"/>
        </w:rPr>
        <w:footnoteRef/>
      </w:r>
      <w:r w:rsidRPr="005670B1">
        <w:rPr>
          <w:rtl/>
        </w:rPr>
        <w:t xml:space="preserve"> פס' פה לפסק הדין.</w:t>
      </w:r>
    </w:p>
  </w:footnote>
  <w:footnote w:id="17">
    <w:p w14:paraId="17B4224B" w14:textId="1E1B2B40" w:rsidR="00186FE0" w:rsidRPr="005670B1" w:rsidRDefault="00186FE0" w:rsidP="00186FE0">
      <w:pPr>
        <w:pStyle w:val="FootnoteText"/>
        <w:rPr>
          <w:rtl/>
        </w:rPr>
      </w:pPr>
      <w:r w:rsidRPr="005670B1">
        <w:rPr>
          <w:rStyle w:val="FootnoteReference"/>
        </w:rPr>
        <w:footnoteRef/>
      </w:r>
      <w:r w:rsidRPr="005670B1">
        <w:rPr>
          <w:rtl/>
        </w:rPr>
        <w:t xml:space="preserve"> להשלמת התמונה, התפנית הזאת בגישת המשפט הישראלי להסדרים אנכיים דומה לתפנית שחלה בגישת המשפט האמריקאי. בשנת 1977, בית המשפט העליון האמריקאי קבע שיש מקום לבחון הסדרים אנכיים שאין בהם כבילת מחיר לפי כלל הסבירות (</w:t>
      </w:r>
      <w:r w:rsidRPr="005670B1">
        <w:t>rule of reason</w:t>
      </w:r>
      <w:r w:rsidRPr="005670B1">
        <w:rPr>
          <w:rtl/>
        </w:rPr>
        <w:t>) ולא בהתאם לחזקת הפסלות (איסור ה-</w:t>
      </w:r>
      <w:r w:rsidRPr="005670B1">
        <w:rPr>
          <w:i/>
          <w:iCs/>
        </w:rPr>
        <w:t>per se</w:t>
      </w:r>
      <w:r w:rsidRPr="005670B1">
        <w:rPr>
          <w:rtl/>
        </w:rPr>
        <w:t>) (</w:t>
      </w:r>
      <w:r w:rsidRPr="005670B1">
        <w:t>Continental Television Inc et al. v. GTE Sylvania Inc, 433 U.S. 36 (1977)</w:t>
      </w:r>
      <w:r w:rsidRPr="005670B1">
        <w:rPr>
          <w:rtl/>
        </w:rPr>
        <w:t xml:space="preserve">). הלכה זו הורחבה גם להסדרי </w:t>
      </w:r>
      <w:r w:rsidRPr="005670B1">
        <w:t>RPM maximum</w:t>
      </w:r>
      <w:r w:rsidRPr="005670B1">
        <w:rPr>
          <w:rtl/>
        </w:rPr>
        <w:t xml:space="preserve"> בשנת 1997 (</w:t>
      </w:r>
      <w:r w:rsidRPr="005670B1">
        <w:t>State Oil Co. v. Khan,</w:t>
      </w:r>
      <w:r w:rsidRPr="005670B1">
        <w:rPr>
          <w:i/>
          <w:iCs/>
        </w:rPr>
        <w:t xml:space="preserve"> </w:t>
      </w:r>
      <w:r w:rsidRPr="005670B1">
        <w:t>522 U.S. 3 (1997)</w:t>
      </w:r>
      <w:r w:rsidRPr="005670B1">
        <w:rPr>
          <w:rtl/>
        </w:rPr>
        <w:t xml:space="preserve">) ולהסדרי </w:t>
      </w:r>
      <w:r w:rsidRPr="005670B1">
        <w:t>RPM minimum</w:t>
      </w:r>
      <w:r w:rsidRPr="005670B1">
        <w:rPr>
          <w:rtl/>
        </w:rPr>
        <w:t xml:space="preserve"> ו-</w:t>
      </w:r>
      <w:r w:rsidRPr="005670B1">
        <w:t>RPM fixed</w:t>
      </w:r>
      <w:r w:rsidRPr="005670B1">
        <w:rPr>
          <w:rtl/>
        </w:rPr>
        <w:t xml:space="preserve"> בשנת 2007 (</w:t>
      </w:r>
      <w:r w:rsidRPr="005670B1">
        <w:t>Leegin Creative Leather Prods., Inc. v. PSKS, Inc., 551 U.S. 877 (2007)</w:t>
      </w:r>
      <w:r w:rsidRPr="005670B1">
        <w:rPr>
          <w:rtl/>
        </w:rPr>
        <w:t xml:space="preserve">). במסגרת פסק הדין בעניין </w:t>
      </w:r>
      <w:r w:rsidRPr="005670B1">
        <w:t>Leegin</w:t>
      </w:r>
      <w:r w:rsidRPr="005670B1">
        <w:rPr>
          <w:rtl/>
        </w:rPr>
        <w:t xml:space="preserve">, עמד בית המשפט העליון של ארצות הברית על מגוון ההצדקות הפרו-תחרותיות שעשויות להיות להסדרי </w:t>
      </w:r>
      <w:r w:rsidRPr="005670B1">
        <w:t>RPM</w:t>
      </w:r>
      <w:r w:rsidRPr="005670B1">
        <w:rPr>
          <w:rtl/>
        </w:rPr>
        <w:t xml:space="preserve">, כפי שיידונו בהמשך. בית המשפט העליון אמנם הכיר בחששות לפגיעה בתחרות שהסדרי </w:t>
      </w:r>
      <w:r w:rsidRPr="005670B1">
        <w:t>RPM</w:t>
      </w:r>
      <w:r w:rsidRPr="005670B1">
        <w:rPr>
          <w:rtl/>
        </w:rPr>
        <w:t xml:space="preserve"> עלולים להעלות, אך מצא כי הסדרי </w:t>
      </w:r>
      <w:r w:rsidRPr="005670B1">
        <w:t>RPM</w:t>
      </w:r>
      <w:r w:rsidRPr="005670B1">
        <w:rPr>
          <w:rtl/>
        </w:rPr>
        <w:t xml:space="preserve"> אינם פוגעים בתחרות "תמיד או כמעט תמיד". משכך, אין מקום לפסילתם הגורפת של הסדרים אלה תחת כלל ה-</w:t>
      </w:r>
      <w:r w:rsidRPr="005670B1">
        <w:rPr>
          <w:i/>
          <w:iCs/>
        </w:rPr>
        <w:t>per se</w:t>
      </w:r>
      <w:r w:rsidRPr="005670B1">
        <w:rPr>
          <w:rtl/>
        </w:rPr>
        <w:t xml:space="preserve"> אלא יש להעריך את החששות והתועלות העולים מן ההסדר במקרה הפרטני.</w:t>
      </w:r>
    </w:p>
    <w:p w14:paraId="16C435D9" w14:textId="3C3805E2" w:rsidR="00186FE0" w:rsidRPr="005670B1" w:rsidRDefault="00186FE0" w:rsidP="00753478">
      <w:pPr>
        <w:pStyle w:val="FootnoteText"/>
        <w:rPr>
          <w:rtl/>
        </w:rPr>
      </w:pPr>
      <w:r w:rsidRPr="005670B1">
        <w:rPr>
          <w:rtl/>
        </w:rPr>
        <w:t xml:space="preserve">גישת המשפט של האיחוד האירופי חשדנית יותר כלפי הסדרי </w:t>
      </w:r>
      <w:r w:rsidRPr="005670B1">
        <w:t>RPM</w:t>
      </w:r>
      <w:r w:rsidRPr="005670B1">
        <w:rPr>
          <w:rtl/>
        </w:rPr>
        <w:t xml:space="preserve"> בהשוואה לשיטת המשפט האמריקאית, אך עדיין מותירה מקום לבחינת תרומתם לתחרות. פטור הסוג שקבעה הנציבות האירופית בעניין כבילות אנכיות (</w:t>
      </w:r>
      <w:r w:rsidRPr="005670B1">
        <w:t>Commission Regulation (EU) No 330/2010 of 20 April 2010 on the application of Article 101(3) of the Treaty on the Functioning of the European Union to categories of vertical agreements and concerted practices, OJ L 102, 1 (23.4.2010)</w:t>
      </w:r>
      <w:r w:rsidRPr="005670B1">
        <w:rPr>
          <w:rtl/>
        </w:rPr>
        <w:t xml:space="preserve">) מחריג מתחולתו הסדרי </w:t>
      </w:r>
      <w:r w:rsidRPr="005670B1">
        <w:t>RPM</w:t>
      </w:r>
      <w:r w:rsidRPr="005670B1">
        <w:rPr>
          <w:rtl/>
        </w:rPr>
        <w:t>. כפי שמוסבר בהנחיות הנציבות האירופית לפטור הסוג (</w:t>
      </w:r>
      <w:r w:rsidRPr="005670B1">
        <w:t>SEC(2010) 411, (10.5.2010)</w:t>
      </w:r>
      <w:r w:rsidRPr="005670B1">
        <w:rPr>
          <w:rtl/>
        </w:rPr>
        <w:t xml:space="preserve">), משמעות אי-תחולת פטור הסוג היא כי חזקה על כבילות אלה שהן פוגעות בתחרות. כן חזקה על הסדרי </w:t>
      </w:r>
      <w:r w:rsidRPr="005670B1">
        <w:t>RPM</w:t>
      </w:r>
      <w:r w:rsidRPr="005670B1">
        <w:rPr>
          <w:rtl/>
        </w:rPr>
        <w:t xml:space="preserve"> שהם אינם עומדים בתנאי סעיף 101(3) לאמנה על תפקודו של האיחוד האירופאי (</w:t>
      </w:r>
      <w:r w:rsidRPr="005670B1">
        <w:t>TFEU</w:t>
      </w:r>
      <w:r w:rsidRPr="005670B1">
        <w:rPr>
          <w:rtl/>
        </w:rPr>
        <w:t xml:space="preserve">), המתיר הסדרים כובלים התורמים </w:t>
      </w:r>
      <w:r w:rsidR="00E66CC0" w:rsidRPr="005670B1">
        <w:rPr>
          <w:rFonts w:hint="cs"/>
          <w:rtl/>
        </w:rPr>
        <w:t>לשיפור הייצור של טובין או הפצתם או המקדמים התקדמות טכנית או כלכלית, כאשר הצרכנים</w:t>
      </w:r>
      <w:r w:rsidR="00753478" w:rsidRPr="005670B1">
        <w:rPr>
          <w:rFonts w:hint="cs"/>
          <w:rtl/>
        </w:rPr>
        <w:t xml:space="preserve"> צפויים ליהנות מה</w:t>
      </w:r>
      <w:r w:rsidR="00E66CC0" w:rsidRPr="005670B1">
        <w:rPr>
          <w:rFonts w:hint="cs"/>
          <w:rtl/>
        </w:rPr>
        <w:t>תועלות הנובעות מכך ו</w:t>
      </w:r>
      <w:r w:rsidRPr="005670B1">
        <w:rPr>
          <w:rtl/>
        </w:rPr>
        <w:t xml:space="preserve">בכפוף לתנאים המפורטים בסעיף. ואולם, בידי הצדדים להסדר </w:t>
      </w:r>
      <w:r w:rsidRPr="005670B1">
        <w:t>RPM</w:t>
      </w:r>
      <w:r w:rsidRPr="005670B1">
        <w:rPr>
          <w:rtl/>
        </w:rPr>
        <w:t xml:space="preserve"> שמורה הזכות לטעון כי הסדר </w:t>
      </w:r>
      <w:r w:rsidRPr="005670B1">
        <w:t>RPM</w:t>
      </w:r>
      <w:r w:rsidRPr="005670B1">
        <w:rPr>
          <w:rtl/>
        </w:rPr>
        <w:t xml:space="preserve"> שבו הם קשורים, מגשים תועלות פרו-תחרותיות. במקרה כאמור, ייבחנו החששות לפגיעה בתחרות ובצרכנים כתוצאה מן ההסדר אל מול התועלות שהוא מגשים לצורך ההכרעה בדבר תחולת סעיף 101(3) לאמנה.</w:t>
      </w:r>
    </w:p>
  </w:footnote>
  <w:footnote w:id="18">
    <w:p w14:paraId="227DB9E2" w14:textId="77777777" w:rsidR="00AF10EA" w:rsidRPr="005670B1" w:rsidRDefault="00AF10EA" w:rsidP="00AF10EA">
      <w:pPr>
        <w:pStyle w:val="FootnoteText"/>
        <w:rPr>
          <w:rtl/>
        </w:rPr>
      </w:pPr>
      <w:r w:rsidRPr="005670B1">
        <w:rPr>
          <w:rStyle w:val="FootnoteReference"/>
        </w:rPr>
        <w:footnoteRef/>
      </w:r>
      <w:r w:rsidRPr="005670B1">
        <w:rPr>
          <w:rtl/>
        </w:rPr>
        <w:t xml:space="preserve"> כלשון המשנה לנשיאה, כב' השופט רובינשטיין בפס' פו לפסק הדין, הפתח שהציע להותיר הוא להסדרים "חריגים במיוחד, אשר לא ניתן לתחמם מראש במסגרת רשימה סגורה, בהם הפגיעה התחרותית הפוטנציאלית היא כה מובנת מאליה, ואילו הערך הכלכלי החיובי של ההסדר הוא נמוך עד מאוד, כך שאין נחוצה בחינה בפועל של עלילות הפגיעה בתחרות".</w:t>
      </w:r>
    </w:p>
  </w:footnote>
  <w:footnote w:id="19">
    <w:p w14:paraId="0C67E574" w14:textId="7DA70E27" w:rsidR="00AF10EA" w:rsidRPr="005670B1" w:rsidRDefault="00AF10EA" w:rsidP="00186FE0">
      <w:pPr>
        <w:pStyle w:val="FootnoteText"/>
        <w:rPr>
          <w:rtl/>
        </w:rPr>
      </w:pPr>
      <w:r w:rsidRPr="005670B1">
        <w:rPr>
          <w:rStyle w:val="FootnoteReference"/>
        </w:rPr>
        <w:footnoteRef/>
      </w:r>
      <w:r w:rsidRPr="005670B1">
        <w:rPr>
          <w:rtl/>
        </w:rPr>
        <w:t xml:space="preserve"> כפי שציין השופט רובינשטיין, ההסדר שנדון בפרשת שופרסל נעדר כל מטרה, תחרותית או אחרת, פרט לפגיעה בתחרות האופקית מולה שופרסל הייתה ניצבת; משכך, על פי גישתו של השופט רובינשטיין, ההבדל בינו לבין הסדר אופקי מזערי</w:t>
      </w:r>
      <w:r w:rsidR="00186FE0" w:rsidRPr="005670B1">
        <w:rPr>
          <w:rtl/>
        </w:rPr>
        <w:t>.</w:t>
      </w:r>
      <w:r w:rsidRPr="005670B1">
        <w:rPr>
          <w:rtl/>
        </w:rPr>
        <w:t xml:space="preserve"> נראה, אם כן, כי כאשר הציע השופט רובינשטיין לשמור פתח לבחינת הסדרים אנכיים חמורים במיוחד בהתאם לחזקות החלוטות הקבועות בסעיף 2(ב) לחוק, הוא לא כיוון דווקא להסדרי </w:t>
      </w:r>
      <w:r w:rsidRPr="005670B1">
        <w:t>RPM</w:t>
      </w:r>
      <w:r w:rsidRPr="005670B1">
        <w:rPr>
          <w:rtl/>
        </w:rPr>
        <w:t>.</w:t>
      </w:r>
    </w:p>
  </w:footnote>
  <w:footnote w:id="20">
    <w:p w14:paraId="33C639A6" w14:textId="673E5AC1" w:rsidR="002B287A" w:rsidRPr="005670B1" w:rsidRDefault="002B287A" w:rsidP="002B287A">
      <w:pPr>
        <w:pStyle w:val="FootnoteText"/>
        <w:rPr>
          <w:i/>
          <w:iCs/>
          <w:rtl/>
        </w:rPr>
      </w:pPr>
      <w:r w:rsidRPr="005670B1">
        <w:rPr>
          <w:rStyle w:val="FootnoteReference"/>
        </w:rPr>
        <w:footnoteRef/>
      </w:r>
      <w:r w:rsidRPr="005670B1">
        <w:rPr>
          <w:rtl/>
        </w:rPr>
        <w:t xml:space="preserve"> </w:t>
      </w:r>
      <w:r w:rsidRPr="005670B1">
        <w:rPr>
          <w:rFonts w:hint="cs"/>
          <w:rtl/>
        </w:rPr>
        <w:t xml:space="preserve">לדיון בחשש זה, </w:t>
      </w:r>
      <w:r w:rsidRPr="005670B1">
        <w:rPr>
          <w:rtl/>
        </w:rPr>
        <w:t>ראו</w:t>
      </w:r>
      <w:r w:rsidRPr="005670B1">
        <w:t>OECD Roundtable on Resale Price Maintenance, DAF/COMP(2008)37, Contribution by the European Commission, pp. 225-232</w:t>
      </w:r>
      <w:r w:rsidRPr="005670B1">
        <w:rPr>
          <w:rFonts w:hint="cs"/>
          <w:rtl/>
        </w:rPr>
        <w:t xml:space="preserve"> (2008) (להלן: "</w:t>
      </w:r>
      <w:r w:rsidRPr="005670B1">
        <w:rPr>
          <w:b/>
          <w:bCs/>
        </w:rPr>
        <w:t>OECD Roundtable</w:t>
      </w:r>
      <w:r w:rsidRPr="005670B1">
        <w:rPr>
          <w:rFonts w:hint="cs"/>
          <w:rtl/>
        </w:rPr>
        <w:t>")</w:t>
      </w:r>
      <w:r w:rsidR="00996E8E">
        <w:rPr>
          <w:rFonts w:hint="cs"/>
          <w:rtl/>
        </w:rPr>
        <w:t>,</w:t>
      </w:r>
      <w:r w:rsidRPr="005670B1">
        <w:rPr>
          <w:rtl/>
        </w:rPr>
        <w:t xml:space="preserve"> ניתן לעיין בכתובת: </w:t>
      </w:r>
      <w:hyperlink r:id="rId1" w:history="1">
        <w:r w:rsidRPr="005670B1">
          <w:rPr>
            <w:rStyle w:val="Hyperlink"/>
            <w:color w:val="auto"/>
          </w:rPr>
          <w:t>https://www.oecd.org/daf/competition/43835526.pdf</w:t>
        </w:r>
      </w:hyperlink>
      <w:r w:rsidRPr="005670B1">
        <w:rPr>
          <w:rtl/>
        </w:rPr>
        <w:t>; וכן</w:t>
      </w:r>
      <w:r w:rsidRPr="005670B1">
        <w:t xml:space="preserve">Itai Paldor </w:t>
      </w:r>
      <w:r w:rsidRPr="005670B1">
        <w:rPr>
          <w:b/>
          <w:bCs/>
        </w:rPr>
        <w:t>Rethinking RPM: Did the Courts Have it Right All Along?</w:t>
      </w:r>
      <w:r w:rsidRPr="005670B1">
        <w:t xml:space="preserve"> (Thesis submitted in accordance with the requirements for the degree of SJD – Graduate Department of Law, University of Toronto, 2007</w:t>
      </w:r>
      <w:r w:rsidRPr="005670B1">
        <w:rPr>
          <w:rtl/>
        </w:rPr>
        <w:t>) (להלן: "</w:t>
      </w:r>
      <w:r w:rsidRPr="005670B1">
        <w:rPr>
          <w:b/>
          <w:bCs/>
          <w:rtl/>
        </w:rPr>
        <w:t>מאמר</w:t>
      </w:r>
      <w:r w:rsidRPr="005670B1">
        <w:rPr>
          <w:rtl/>
        </w:rPr>
        <w:t xml:space="preserve"> </w:t>
      </w:r>
      <w:r w:rsidRPr="005670B1">
        <w:rPr>
          <w:b/>
          <w:bCs/>
          <w:rtl/>
        </w:rPr>
        <w:t>פלדור</w:t>
      </w:r>
      <w:r w:rsidRPr="005670B1">
        <w:rPr>
          <w:rtl/>
        </w:rPr>
        <w:t>"), בעמ' 121-126.</w:t>
      </w:r>
    </w:p>
  </w:footnote>
  <w:footnote w:id="21">
    <w:p w14:paraId="1DB69F8A" w14:textId="77777777" w:rsidR="00753478" w:rsidRPr="005670B1" w:rsidRDefault="00753478" w:rsidP="00753478">
      <w:pPr>
        <w:pStyle w:val="FootnoteText"/>
        <w:rPr>
          <w:rtl/>
        </w:rPr>
      </w:pPr>
      <w:r w:rsidRPr="005670B1">
        <w:rPr>
          <w:rStyle w:val="FootnoteReference"/>
        </w:rPr>
        <w:footnoteRef/>
      </w:r>
      <w:r w:rsidRPr="005670B1">
        <w:rPr>
          <w:rtl/>
        </w:rPr>
        <w:t xml:space="preserve"> </w:t>
      </w:r>
      <w:r w:rsidRPr="005670B1">
        <w:rPr>
          <w:rFonts w:hint="cs"/>
          <w:rtl/>
        </w:rPr>
        <w:t xml:space="preserve">ראו </w:t>
      </w:r>
      <w:r w:rsidRPr="005670B1">
        <w:t>OECD Roundtable</w:t>
      </w:r>
      <w:r w:rsidRPr="005670B1">
        <w:rPr>
          <w:rFonts w:hint="cs"/>
          <w:rtl/>
        </w:rPr>
        <w:t>, בעמ' 229. כן יוער כי חשש זה עשוי שלא להתקיים במקרה של משווק המוכר ללקוח סופי שאינו צרכן פרטי, שכן המחירים הנגבים מלקוחות כאמור עשויים להיות בלתי שקופים למשווקים וספקים אחרים, או למצער שקופים פחות בהשוואה למחירים הנגבים מצרכנים פרטיים.</w:t>
      </w:r>
    </w:p>
  </w:footnote>
  <w:footnote w:id="22">
    <w:p w14:paraId="446F07AC" w14:textId="7A06D06B" w:rsidR="00B02B49" w:rsidRPr="005670B1" w:rsidRDefault="00B02B49" w:rsidP="00B02B49">
      <w:pPr>
        <w:pStyle w:val="FootnoteText"/>
        <w:rPr>
          <w:rtl/>
        </w:rPr>
      </w:pPr>
      <w:r w:rsidRPr="005670B1">
        <w:rPr>
          <w:rStyle w:val="FootnoteReference"/>
        </w:rPr>
        <w:footnoteRef/>
      </w:r>
      <w:r w:rsidRPr="005670B1">
        <w:rPr>
          <w:rtl/>
        </w:rPr>
        <w:t xml:space="preserve"> </w:t>
      </w:r>
      <w:r w:rsidRPr="005670B1">
        <w:rPr>
          <w:rFonts w:hint="cs"/>
          <w:rtl/>
        </w:rPr>
        <w:t>ראו בהנחיות הנציבות האירופאית לעניין כבילות אנכיות:</w:t>
      </w:r>
      <w:r w:rsidRPr="005670B1">
        <w:t>EU Commission ,Guidelines on Vertical Restraints, 2010/C 130/01</w:t>
      </w:r>
      <w:r w:rsidRPr="005670B1">
        <w:rPr>
          <w:rFonts w:hint="cs"/>
          <w:rtl/>
        </w:rPr>
        <w:t xml:space="preserve"> (להלן: "</w:t>
      </w:r>
      <w:r w:rsidRPr="005670B1">
        <w:rPr>
          <w:rFonts w:hint="cs"/>
          <w:b/>
          <w:bCs/>
          <w:rtl/>
        </w:rPr>
        <w:t>ההנחיות האירופאיות</w:t>
      </w:r>
      <w:r w:rsidRPr="005670B1">
        <w:rPr>
          <w:rFonts w:hint="cs"/>
          <w:rtl/>
        </w:rPr>
        <w:t>"), פס' 224.</w:t>
      </w:r>
    </w:p>
  </w:footnote>
  <w:footnote w:id="23">
    <w:p w14:paraId="43A3B1F0" w14:textId="697C8A98" w:rsidR="00B64218" w:rsidRPr="005670B1" w:rsidRDefault="00400D28" w:rsidP="00B64218">
      <w:pPr>
        <w:pStyle w:val="FootnoteText"/>
        <w:rPr>
          <w:rtl/>
        </w:rPr>
      </w:pPr>
      <w:r w:rsidRPr="005670B1">
        <w:rPr>
          <w:rStyle w:val="FootnoteReference"/>
        </w:rPr>
        <w:footnoteRef/>
      </w:r>
      <w:r w:rsidR="00E2375E" w:rsidRPr="005670B1">
        <w:rPr>
          <w:rtl/>
        </w:rPr>
        <w:t xml:space="preserve"> דוגמ</w:t>
      </w:r>
      <w:r w:rsidR="00E2375E" w:rsidRPr="005670B1">
        <w:rPr>
          <w:rFonts w:hint="cs"/>
          <w:rtl/>
        </w:rPr>
        <w:t>ה</w:t>
      </w:r>
      <w:r w:rsidRPr="005670B1">
        <w:rPr>
          <w:rtl/>
        </w:rPr>
        <w:t xml:space="preserve"> למקור כוח המיקוח של קמעונאי דומיננטי מובאת </w:t>
      </w:r>
      <w:r w:rsidR="00D63881" w:rsidRPr="005670B1">
        <w:rPr>
          <w:rFonts w:hint="cs"/>
          <w:rtl/>
        </w:rPr>
        <w:t>במאמר פלדור בעמ' 96</w:t>
      </w:r>
      <w:r w:rsidRPr="005670B1">
        <w:rPr>
          <w:rtl/>
        </w:rPr>
        <w:t xml:space="preserve">, </w:t>
      </w:r>
      <w:r w:rsidR="00D63881" w:rsidRPr="005670B1">
        <w:rPr>
          <w:rFonts w:hint="cs"/>
          <w:rtl/>
        </w:rPr>
        <w:t>המתאר תרחיש בו</w:t>
      </w:r>
      <w:r w:rsidRPr="005670B1">
        <w:rPr>
          <w:rtl/>
        </w:rPr>
        <w:t xml:space="preserve"> הקמעונאי יכול לאיים על הספק בהורדת המוצר המדובר מהמדפים.</w:t>
      </w:r>
    </w:p>
  </w:footnote>
  <w:footnote w:id="24">
    <w:p w14:paraId="0A1AC8A4" w14:textId="77777777" w:rsidR="00B64218" w:rsidRDefault="00B64218" w:rsidP="00B64218">
      <w:pPr>
        <w:pStyle w:val="FootnoteText"/>
        <w:rPr>
          <w:rtl/>
        </w:rPr>
      </w:pPr>
      <w:r>
        <w:rPr>
          <w:rStyle w:val="FootnoteReference"/>
        </w:rPr>
        <w:footnoteRef/>
      </w:r>
      <w:r>
        <w:rPr>
          <w:rtl/>
        </w:rPr>
        <w:t xml:space="preserve"> </w:t>
      </w:r>
      <w:r w:rsidRPr="00673433">
        <w:rPr>
          <w:rtl/>
        </w:rPr>
        <w:t xml:space="preserve">ראו, בין היתר, </w:t>
      </w:r>
      <w:r w:rsidRPr="00673433">
        <w:t xml:space="preserve">Daniel P. O'Brien and Greg Shaffer, </w:t>
      </w:r>
      <w:r w:rsidRPr="00673433">
        <w:rPr>
          <w:i/>
          <w:iCs/>
        </w:rPr>
        <w:t>Vertical Control with Bilateral Contracts</w:t>
      </w:r>
      <w:r w:rsidRPr="00673433">
        <w:t xml:space="preserve">, 23(3) </w:t>
      </w:r>
      <w:r w:rsidRPr="00673433">
        <w:rPr>
          <w:smallCaps/>
        </w:rPr>
        <w:t>RAND J. of Econ.</w:t>
      </w:r>
      <w:r w:rsidRPr="00673433">
        <w:t xml:space="preserve"> 299 (1992)</w:t>
      </w:r>
      <w:r w:rsidRPr="00673433">
        <w:rPr>
          <w:rFonts w:hint="cs"/>
          <w:rtl/>
        </w:rPr>
        <w:t>.</w:t>
      </w:r>
    </w:p>
  </w:footnote>
  <w:footnote w:id="25">
    <w:p w14:paraId="3BACF10F" w14:textId="77777777" w:rsidR="00AC46C0" w:rsidRPr="005670B1" w:rsidRDefault="00AC46C0" w:rsidP="0016689B">
      <w:pPr>
        <w:pStyle w:val="FootnoteText"/>
        <w:rPr>
          <w:highlight w:val="cyan"/>
          <w:rtl/>
        </w:rPr>
      </w:pPr>
      <w:r w:rsidRPr="005670B1">
        <w:rPr>
          <w:rStyle w:val="FootnoteReference"/>
        </w:rPr>
        <w:footnoteRef/>
      </w:r>
      <w:r w:rsidRPr="005670B1">
        <w:rPr>
          <w:rtl/>
        </w:rPr>
        <w:t xml:space="preserve"> </w:t>
      </w:r>
      <w:r w:rsidR="0059245D" w:rsidRPr="005670B1">
        <w:t xml:space="preserve">OECD Roundtable </w:t>
      </w:r>
      <w:r w:rsidR="0059245D" w:rsidRPr="005670B1">
        <w:rPr>
          <w:rFonts w:hint="cs"/>
          <w:rtl/>
        </w:rPr>
        <w:t>, עמ' 58-23.</w:t>
      </w:r>
    </w:p>
  </w:footnote>
  <w:footnote w:id="26">
    <w:p w14:paraId="31A0A2E5" w14:textId="6D315261" w:rsidR="0016689B" w:rsidRPr="005670B1" w:rsidRDefault="0016689B" w:rsidP="0016689B">
      <w:pPr>
        <w:pStyle w:val="FootnoteText"/>
        <w:rPr>
          <w:rtl/>
        </w:rPr>
      </w:pPr>
      <w:r w:rsidRPr="005670B1">
        <w:rPr>
          <w:rStyle w:val="FootnoteReference"/>
        </w:rPr>
        <w:footnoteRef/>
      </w:r>
      <w:r w:rsidRPr="005670B1">
        <w:rPr>
          <w:rtl/>
        </w:rPr>
        <w:t xml:space="preserve"> ראו</w:t>
      </w:r>
      <w:r w:rsidRPr="005670B1">
        <w:rPr>
          <w:rFonts w:hint="cs"/>
          <w:rtl/>
        </w:rPr>
        <w:t xml:space="preserve"> מאמר פלדור, עמ' 61-58; </w:t>
      </w:r>
      <w:r w:rsidRPr="005670B1">
        <w:t>OECD Roundtable</w:t>
      </w:r>
      <w:r w:rsidRPr="005670B1">
        <w:rPr>
          <w:rFonts w:hint="cs"/>
          <w:rtl/>
        </w:rPr>
        <w:t>, 58-23 וכן 223-213.</w:t>
      </w:r>
    </w:p>
  </w:footnote>
  <w:footnote w:id="27">
    <w:p w14:paraId="1ECD8C17" w14:textId="4B82C7DD" w:rsidR="00952802" w:rsidRPr="005670B1" w:rsidRDefault="00952802" w:rsidP="005670B1">
      <w:pPr>
        <w:pStyle w:val="FootnoteText"/>
        <w:rPr>
          <w:rtl/>
        </w:rPr>
      </w:pPr>
      <w:r w:rsidRPr="005670B1">
        <w:rPr>
          <w:rStyle w:val="FootnoteReference"/>
        </w:rPr>
        <w:footnoteRef/>
      </w:r>
      <w:r w:rsidRPr="005670B1">
        <w:rPr>
          <w:rtl/>
        </w:rPr>
        <w:t xml:space="preserve"> ראו</w:t>
      </w:r>
      <w:r w:rsidRPr="005670B1">
        <w:rPr>
          <w:rFonts w:hint="cs"/>
          <w:rtl/>
        </w:rPr>
        <w:t xml:space="preserve"> </w:t>
      </w:r>
      <w:r w:rsidR="005670B1" w:rsidRPr="005670B1">
        <w:rPr>
          <w:rFonts w:hint="cs"/>
          <w:rtl/>
        </w:rPr>
        <w:t>ב</w:t>
      </w:r>
      <w:r w:rsidR="005670B1">
        <w:rPr>
          <w:rFonts w:hint="cs"/>
          <w:rtl/>
        </w:rPr>
        <w:t>מאמר</w:t>
      </w:r>
      <w:r w:rsidR="005670B1" w:rsidRPr="005670B1">
        <w:t xml:space="preserve">John Asker and Heski Bar-Isaac, </w:t>
      </w:r>
      <w:r w:rsidR="005670B1" w:rsidRPr="005670B1">
        <w:rPr>
          <w:i/>
          <w:iCs/>
        </w:rPr>
        <w:t>Raising Retailers' Profits: On Vertical Practices and the Exclusion of Rival,</w:t>
      </w:r>
      <w:r w:rsidR="005670B1" w:rsidRPr="005670B1">
        <w:t xml:space="preserve"> 104(2) American Economic Review, 672 (2013)</w:t>
      </w:r>
      <w:r w:rsidR="005670B1" w:rsidRPr="005670B1">
        <w:rPr>
          <w:rFonts w:hint="cs"/>
          <w:rtl/>
        </w:rPr>
        <w:t xml:space="preserve">, </w:t>
      </w:r>
      <w:r w:rsidRPr="005670B1">
        <w:rPr>
          <w:rFonts w:hint="cs"/>
          <w:rtl/>
        </w:rPr>
        <w:t xml:space="preserve">בהנחיות </w:t>
      </w:r>
      <w:r w:rsidR="00B02B49" w:rsidRPr="005670B1">
        <w:rPr>
          <w:rFonts w:hint="cs"/>
          <w:rtl/>
        </w:rPr>
        <w:t xml:space="preserve">האירופאיות, </w:t>
      </w:r>
      <w:r w:rsidRPr="005670B1">
        <w:rPr>
          <w:rFonts w:hint="cs"/>
          <w:rtl/>
        </w:rPr>
        <w:t xml:space="preserve">פס' 48 </w:t>
      </w:r>
      <w:r w:rsidR="000638FF" w:rsidRPr="005670B1">
        <w:rPr>
          <w:rFonts w:hint="cs"/>
          <w:rtl/>
        </w:rPr>
        <w:t xml:space="preserve">ו-224 </w:t>
      </w:r>
      <w:r w:rsidRPr="005670B1">
        <w:rPr>
          <w:rtl/>
        </w:rPr>
        <w:t>וכן</w:t>
      </w:r>
      <w:r w:rsidRPr="005670B1">
        <w:rPr>
          <w:rFonts w:hint="cs"/>
          <w:rtl/>
        </w:rPr>
        <w:t xml:space="preserve"> במאמר פלדור בעמ' 253-240.</w:t>
      </w:r>
    </w:p>
  </w:footnote>
  <w:footnote w:id="28">
    <w:p w14:paraId="59AD165B" w14:textId="1C5A7884" w:rsidR="0016689B" w:rsidRPr="005670B1" w:rsidRDefault="0016689B">
      <w:pPr>
        <w:pStyle w:val="FootnoteText"/>
        <w:rPr>
          <w:rtl/>
        </w:rPr>
      </w:pPr>
      <w:r w:rsidRPr="005670B1">
        <w:rPr>
          <w:rStyle w:val="FootnoteReference"/>
        </w:rPr>
        <w:footnoteRef/>
      </w:r>
      <w:r w:rsidRPr="005670B1">
        <w:rPr>
          <w:rtl/>
        </w:rPr>
        <w:t xml:space="preserve"> </w:t>
      </w:r>
      <w:r w:rsidRPr="005670B1">
        <w:rPr>
          <w:rFonts w:hint="cs"/>
          <w:rtl/>
        </w:rPr>
        <w:t xml:space="preserve">ראו </w:t>
      </w:r>
      <w:r w:rsidRPr="005670B1">
        <w:t>OECD Roundtable</w:t>
      </w:r>
      <w:r w:rsidRPr="005670B1">
        <w:rPr>
          <w:rFonts w:hint="cs"/>
          <w:rtl/>
        </w:rPr>
        <w:t xml:space="preserve">, 232-225. </w:t>
      </w:r>
    </w:p>
  </w:footnote>
  <w:footnote w:id="29">
    <w:p w14:paraId="665CA622" w14:textId="34A49F70" w:rsidR="00923582" w:rsidRPr="005670B1" w:rsidRDefault="00923582" w:rsidP="0059245D">
      <w:pPr>
        <w:pStyle w:val="FootnoteText"/>
        <w:rPr>
          <w:rtl/>
        </w:rPr>
      </w:pPr>
      <w:r w:rsidRPr="005670B1">
        <w:rPr>
          <w:rStyle w:val="FootnoteReference"/>
        </w:rPr>
        <w:footnoteRef/>
      </w:r>
      <w:r w:rsidRPr="005670B1">
        <w:rPr>
          <w:rtl/>
        </w:rPr>
        <w:t xml:space="preserve"> ראו</w:t>
      </w:r>
      <w:r w:rsidR="0059245D" w:rsidRPr="005670B1">
        <w:rPr>
          <w:rFonts w:hint="cs"/>
          <w:rtl/>
        </w:rPr>
        <w:t xml:space="preserve"> </w:t>
      </w:r>
      <w:r w:rsidR="0059245D" w:rsidRPr="005670B1">
        <w:t>OECD Roundtable</w:t>
      </w:r>
      <w:r w:rsidR="0059245D" w:rsidRPr="005670B1">
        <w:rPr>
          <w:rFonts w:hint="cs"/>
          <w:rtl/>
        </w:rPr>
        <w:t>, בעמ' 58-23.</w:t>
      </w:r>
    </w:p>
  </w:footnote>
  <w:footnote w:id="30">
    <w:p w14:paraId="579E6B7B" w14:textId="77777777" w:rsidR="007037B6" w:rsidRPr="005670B1" w:rsidRDefault="007037B6" w:rsidP="007037B6">
      <w:pPr>
        <w:pStyle w:val="FootnoteText"/>
        <w:rPr>
          <w:rtl/>
        </w:rPr>
      </w:pPr>
      <w:r w:rsidRPr="005670B1">
        <w:rPr>
          <w:rStyle w:val="FootnoteReference"/>
        </w:rPr>
        <w:footnoteRef/>
      </w:r>
      <w:r w:rsidRPr="005670B1">
        <w:rPr>
          <w:rtl/>
        </w:rPr>
        <w:t xml:space="preserve"> </w:t>
      </w:r>
      <w:r w:rsidRPr="005670B1">
        <w:rPr>
          <w:rFonts w:hint="cs"/>
          <w:rtl/>
        </w:rPr>
        <w:t xml:space="preserve">נוכח רציונל זה, לאורך השנים ניתנו מספר החלטת פטור ביחס להסדרים הכוללים כבילת </w:t>
      </w:r>
      <w:r w:rsidRPr="005670B1">
        <w:t>RPM</w:t>
      </w:r>
      <w:r w:rsidRPr="005670B1">
        <w:rPr>
          <w:rFonts w:hint="cs"/>
          <w:rtl/>
        </w:rPr>
        <w:t xml:space="preserve"> במסגרת יחסי הפצה בקונסיגנציה. ראו למשל </w:t>
      </w:r>
      <w:r w:rsidRPr="005670B1">
        <w:rPr>
          <w:rtl/>
        </w:rPr>
        <w:t>החלטה בדבר מתן פטור מאישור הסדר כובל להסכם בין דנשר בע"מ לבין אגיס הפצה ושיווק (1989</w:t>
      </w:r>
      <w:r w:rsidRPr="005670B1">
        <w:rPr>
          <w:rFonts w:hint="cs"/>
          <w:rtl/>
        </w:rPr>
        <w:t xml:space="preserve">) </w:t>
      </w:r>
      <w:r w:rsidRPr="005670B1">
        <w:rPr>
          <w:rtl/>
        </w:rPr>
        <w:t xml:space="preserve">בע"מ ובין דנאגיס בע"מ </w:t>
      </w:r>
      <w:r w:rsidRPr="005670B1">
        <w:rPr>
          <w:rFonts w:hint="cs"/>
          <w:rtl/>
        </w:rPr>
        <w:t>(20.3.2001)</w:t>
      </w:r>
      <w:r w:rsidRPr="005670B1">
        <w:rPr>
          <w:rtl/>
        </w:rPr>
        <w:t xml:space="preserve"> </w:t>
      </w:r>
      <w:r w:rsidRPr="005670B1">
        <w:rPr>
          <w:b/>
          <w:bCs/>
          <w:rtl/>
        </w:rPr>
        <w:t>הגבלים עסקיים</w:t>
      </w:r>
      <w:r w:rsidRPr="005670B1">
        <w:rPr>
          <w:rtl/>
        </w:rPr>
        <w:t xml:space="preserve"> 3010585</w:t>
      </w:r>
      <w:r w:rsidRPr="005670B1">
        <w:rPr>
          <w:rFonts w:hint="cs"/>
          <w:rtl/>
        </w:rPr>
        <w:t>;</w:t>
      </w:r>
      <w:r w:rsidRPr="005670B1">
        <w:rPr>
          <w:rtl/>
        </w:rPr>
        <w:t xml:space="preserve"> החלטה בדבר מתן פטור מאישור בית הדין להסדר כובל בין דיפלומט מפיצים (1968</w:t>
      </w:r>
      <w:r w:rsidRPr="005670B1">
        <w:rPr>
          <w:rFonts w:hint="cs"/>
          <w:rtl/>
        </w:rPr>
        <w:t>)</w:t>
      </w:r>
      <w:r w:rsidRPr="005670B1">
        <w:rPr>
          <w:rtl/>
        </w:rPr>
        <w:t xml:space="preserve"> בע"מ לבין זיתא תעשיות שמן (1999</w:t>
      </w:r>
      <w:r w:rsidRPr="005670B1">
        <w:rPr>
          <w:rFonts w:hint="cs"/>
          <w:rtl/>
        </w:rPr>
        <w:t xml:space="preserve">) </w:t>
      </w:r>
      <w:r w:rsidRPr="005670B1">
        <w:rPr>
          <w:rtl/>
        </w:rPr>
        <w:t>בע"מ</w:t>
      </w:r>
      <w:r w:rsidRPr="005670B1">
        <w:rPr>
          <w:rFonts w:hint="cs"/>
          <w:rtl/>
        </w:rPr>
        <w:t xml:space="preserve"> (23.8.2006)</w:t>
      </w:r>
      <w:r w:rsidRPr="005670B1">
        <w:rPr>
          <w:rtl/>
        </w:rPr>
        <w:t xml:space="preserve"> </w:t>
      </w:r>
      <w:r w:rsidRPr="005670B1">
        <w:rPr>
          <w:b/>
          <w:bCs/>
          <w:rtl/>
        </w:rPr>
        <w:t>הגבלים</w:t>
      </w:r>
      <w:r w:rsidRPr="005670B1">
        <w:rPr>
          <w:rtl/>
        </w:rPr>
        <w:t xml:space="preserve"> </w:t>
      </w:r>
      <w:r w:rsidRPr="005670B1">
        <w:rPr>
          <w:b/>
          <w:bCs/>
          <w:rtl/>
        </w:rPr>
        <w:t>עסקיים</w:t>
      </w:r>
      <w:r w:rsidRPr="005670B1">
        <w:rPr>
          <w:rtl/>
        </w:rPr>
        <w:t xml:space="preserve"> 5000453</w:t>
      </w:r>
      <w:r w:rsidRPr="005670B1">
        <w:rPr>
          <w:rFonts w:hint="cs"/>
          <w:rtl/>
        </w:rPr>
        <w:t xml:space="preserve">; </w:t>
      </w:r>
      <w:r w:rsidRPr="005670B1">
        <w:rPr>
          <w:rtl/>
        </w:rPr>
        <w:t>החלטה בעניין בקשת הפטור מאישור הסדר כובל להסדר בין החברו</w:t>
      </w:r>
      <w:r w:rsidRPr="005670B1">
        <w:rPr>
          <w:rFonts w:hint="cs"/>
          <w:rtl/>
        </w:rPr>
        <w:t xml:space="preserve">ת </w:t>
      </w:r>
      <w:r w:rsidRPr="005670B1">
        <w:rPr>
          <w:rtl/>
        </w:rPr>
        <w:t>טמפו משקאות בע"מ</w:t>
      </w:r>
      <w:r w:rsidRPr="005670B1">
        <w:rPr>
          <w:rFonts w:hint="cs"/>
          <w:rtl/>
        </w:rPr>
        <w:t xml:space="preserve"> ו</w:t>
      </w:r>
      <w:r w:rsidRPr="005670B1">
        <w:rPr>
          <w:rtl/>
        </w:rPr>
        <w:t>גורי מוצרי צריכה (1991) בע"מ</w:t>
      </w:r>
      <w:r w:rsidRPr="005670B1">
        <w:rPr>
          <w:rFonts w:hint="cs"/>
          <w:rtl/>
        </w:rPr>
        <w:t xml:space="preserve"> (17.2.2008) </w:t>
      </w:r>
      <w:r w:rsidRPr="005670B1">
        <w:rPr>
          <w:rFonts w:hint="cs"/>
          <w:b/>
          <w:bCs/>
          <w:rtl/>
        </w:rPr>
        <w:t xml:space="preserve">הגבלים עסקיים </w:t>
      </w:r>
      <w:r w:rsidRPr="005670B1">
        <w:rPr>
          <w:rFonts w:hint="cs"/>
          <w:rtl/>
        </w:rPr>
        <w:t xml:space="preserve">5000777. </w:t>
      </w:r>
    </w:p>
  </w:footnote>
  <w:footnote w:id="31">
    <w:p w14:paraId="762359ED" w14:textId="37C754FB" w:rsidR="001071D3" w:rsidRPr="005670B1" w:rsidRDefault="00346C8C" w:rsidP="00B5386E">
      <w:pPr>
        <w:pStyle w:val="FootnoteText"/>
        <w:rPr>
          <w:rtl/>
        </w:rPr>
      </w:pPr>
      <w:r w:rsidRPr="005670B1">
        <w:rPr>
          <w:rStyle w:val="FootnoteReference"/>
        </w:rPr>
        <w:footnoteRef/>
      </w:r>
      <w:r w:rsidRPr="005670B1">
        <w:rPr>
          <w:rtl/>
        </w:rPr>
        <w:t xml:space="preserve"> </w:t>
      </w:r>
      <w:r w:rsidRPr="005670B1">
        <w:rPr>
          <w:rFonts w:hint="cs"/>
          <w:rtl/>
        </w:rPr>
        <w:t xml:space="preserve">לדיון באופן בחינת חלוקת הסיכונים בין ספק לבין </w:t>
      </w:r>
      <w:r w:rsidR="00B5386E" w:rsidRPr="005670B1">
        <w:rPr>
          <w:rFonts w:hint="cs"/>
          <w:rtl/>
        </w:rPr>
        <w:t xml:space="preserve">מפיץ </w:t>
      </w:r>
      <w:r w:rsidRPr="005670B1">
        <w:rPr>
          <w:rFonts w:hint="cs"/>
          <w:rtl/>
        </w:rPr>
        <w:t xml:space="preserve">והשפעתה על הניתוח התחרותי של הסדרים אנכיים, ראו </w:t>
      </w:r>
      <w:r w:rsidRPr="005670B1">
        <w:t>T-325/01 DaimlerChrysler AG v. Commission of the European Communities [2005] ECR II-3319</w:t>
      </w:r>
      <w:r w:rsidRPr="005670B1">
        <w:rPr>
          <w:rFonts w:hint="cs"/>
          <w:rtl/>
        </w:rPr>
        <w:t>.</w:t>
      </w:r>
      <w:r w:rsidR="00051872" w:rsidRPr="005670B1">
        <w:rPr>
          <w:rFonts w:hint="cs"/>
          <w:rtl/>
        </w:rPr>
        <w:t xml:space="preserve"> גם </w:t>
      </w:r>
      <w:r w:rsidR="009C6B2C" w:rsidRPr="005670B1">
        <w:rPr>
          <w:rFonts w:hint="cs"/>
          <w:rtl/>
        </w:rPr>
        <w:t>ה</w:t>
      </w:r>
      <w:r w:rsidR="00051872" w:rsidRPr="005670B1">
        <w:rPr>
          <w:rFonts w:hint="cs"/>
          <w:rtl/>
        </w:rPr>
        <w:t>הנחיות האירופאיות</w:t>
      </w:r>
      <w:r w:rsidR="009C6B2C" w:rsidRPr="005670B1">
        <w:rPr>
          <w:rFonts w:hint="cs"/>
          <w:rtl/>
        </w:rPr>
        <w:t xml:space="preserve">, המתייחסות להסדרי </w:t>
      </w:r>
      <w:r w:rsidR="009C6B2C" w:rsidRPr="005670B1">
        <w:t>RPM</w:t>
      </w:r>
      <w:r w:rsidR="009C6B2C" w:rsidRPr="005670B1">
        <w:rPr>
          <w:rFonts w:hint="cs"/>
          <w:rtl/>
        </w:rPr>
        <w:t xml:space="preserve"> בצורה </w:t>
      </w:r>
      <w:r w:rsidR="004C7E5E" w:rsidRPr="005670B1">
        <w:rPr>
          <w:rFonts w:hint="cs"/>
          <w:rtl/>
        </w:rPr>
        <w:t>מחמירה</w:t>
      </w:r>
      <w:r w:rsidR="009C6B2C" w:rsidRPr="005670B1">
        <w:rPr>
          <w:rFonts w:hint="cs"/>
          <w:rtl/>
        </w:rPr>
        <w:t>, רואות מקום להתייחס</w:t>
      </w:r>
      <w:r w:rsidR="004C7E5E" w:rsidRPr="005670B1">
        <w:rPr>
          <w:rFonts w:hint="cs"/>
          <w:rtl/>
        </w:rPr>
        <w:t>ות שונה</w:t>
      </w:r>
      <w:r w:rsidR="009C6B2C" w:rsidRPr="005670B1">
        <w:rPr>
          <w:rFonts w:hint="cs"/>
          <w:rtl/>
        </w:rPr>
        <w:t xml:space="preserve"> להסדר</w:t>
      </w:r>
      <w:r w:rsidR="004C7E5E" w:rsidRPr="005670B1">
        <w:rPr>
          <w:rFonts w:hint="cs"/>
          <w:rtl/>
        </w:rPr>
        <w:t>ים</w:t>
      </w:r>
      <w:r w:rsidR="009C6B2C" w:rsidRPr="005670B1">
        <w:rPr>
          <w:rFonts w:hint="cs"/>
          <w:rtl/>
        </w:rPr>
        <w:t xml:space="preserve"> </w:t>
      </w:r>
      <w:r w:rsidR="004C7E5E" w:rsidRPr="005670B1">
        <w:rPr>
          <w:rFonts w:hint="cs"/>
          <w:rtl/>
        </w:rPr>
        <w:t xml:space="preserve">שבהם </w:t>
      </w:r>
      <w:r w:rsidR="009C6B2C" w:rsidRPr="005670B1">
        <w:rPr>
          <w:rFonts w:hint="cs"/>
          <w:rtl/>
        </w:rPr>
        <w:t>ספק קובע את מחיר המכירה עבור מפיץ הנמצא איתו בהסדר סוכנות (</w:t>
      </w:r>
      <w:r w:rsidR="00051872" w:rsidRPr="005670B1">
        <w:rPr>
          <w:rFonts w:hint="cs"/>
          <w:rtl/>
        </w:rPr>
        <w:t>"</w:t>
      </w:r>
      <w:r w:rsidR="00051872" w:rsidRPr="005670B1">
        <w:t>agency agreement</w:t>
      </w:r>
      <w:r w:rsidR="00051872" w:rsidRPr="005670B1">
        <w:rPr>
          <w:rFonts w:hint="cs"/>
          <w:rtl/>
        </w:rPr>
        <w:t>")</w:t>
      </w:r>
      <w:r w:rsidR="009C6B2C" w:rsidRPr="005670B1">
        <w:rPr>
          <w:rFonts w:hint="cs"/>
          <w:rtl/>
        </w:rPr>
        <w:t>. המבחן שבהנחיות לסיווג יחסים בין ספק למפיץ כ"הסדר סוכנות"</w:t>
      </w:r>
      <w:r w:rsidR="00340411" w:rsidRPr="005670B1">
        <w:rPr>
          <w:rFonts w:hint="cs"/>
          <w:rtl/>
        </w:rPr>
        <w:t xml:space="preserve"> הוא</w:t>
      </w:r>
      <w:r w:rsidR="009C6B2C" w:rsidRPr="005670B1">
        <w:rPr>
          <w:rFonts w:hint="cs"/>
          <w:rtl/>
        </w:rPr>
        <w:t xml:space="preserve"> אמנם </w:t>
      </w:r>
      <w:r w:rsidR="004C7E5E" w:rsidRPr="005670B1">
        <w:rPr>
          <w:rFonts w:hint="cs"/>
          <w:rtl/>
        </w:rPr>
        <w:t>מבחן מחמיר</w:t>
      </w:r>
      <w:r w:rsidR="009C6B2C" w:rsidRPr="005670B1">
        <w:rPr>
          <w:rFonts w:hint="cs"/>
          <w:rtl/>
        </w:rPr>
        <w:t xml:space="preserve">, </w:t>
      </w:r>
      <w:r w:rsidR="004C7E5E" w:rsidRPr="005670B1">
        <w:rPr>
          <w:rFonts w:hint="cs"/>
          <w:rtl/>
        </w:rPr>
        <w:t>ה</w:t>
      </w:r>
      <w:r w:rsidR="009C6B2C" w:rsidRPr="005670B1">
        <w:rPr>
          <w:rFonts w:hint="cs"/>
          <w:rtl/>
        </w:rPr>
        <w:t xml:space="preserve">דורש כי המפיץ לא יישא בשום סיכון הכרוך בשיווק המוצרים או יישא בסיכונים זניחים בלבד. </w:t>
      </w:r>
      <w:r w:rsidR="004C7E5E" w:rsidRPr="005670B1">
        <w:rPr>
          <w:rFonts w:hint="cs"/>
          <w:rtl/>
        </w:rPr>
        <w:t>אך ההיגיון הכלכלי העומד מאחורי הגישה דומה</w:t>
      </w:r>
      <w:r w:rsidR="00340411" w:rsidRPr="005670B1">
        <w:rPr>
          <w:rFonts w:hint="cs"/>
          <w:rtl/>
        </w:rPr>
        <w:t xml:space="preserve"> להגיון שעומד ביסוד העמדה כאן</w:t>
      </w:r>
      <w:r w:rsidR="004C7E5E" w:rsidRPr="005670B1">
        <w:rPr>
          <w:rFonts w:hint="cs"/>
          <w:rtl/>
        </w:rPr>
        <w:t xml:space="preserve">: על פי ההנחיות, </w:t>
      </w:r>
      <w:r w:rsidR="00051872" w:rsidRPr="005670B1">
        <w:rPr>
          <w:rFonts w:hint="cs"/>
          <w:rtl/>
        </w:rPr>
        <w:t>קביעת תנאי מכירת המוצרים</w:t>
      </w:r>
      <w:r w:rsidR="004C7E5E" w:rsidRPr="005670B1">
        <w:rPr>
          <w:rFonts w:hint="cs"/>
          <w:rtl/>
        </w:rPr>
        <w:t xml:space="preserve">, לרבות המחיר, </w:t>
      </w:r>
      <w:r w:rsidR="00051872" w:rsidRPr="005670B1">
        <w:rPr>
          <w:rFonts w:hint="cs"/>
          <w:rtl/>
        </w:rPr>
        <w:t xml:space="preserve">על ידי הספק </w:t>
      </w:r>
      <w:r w:rsidR="009C6B2C" w:rsidRPr="005670B1">
        <w:rPr>
          <w:rFonts w:hint="cs"/>
          <w:rtl/>
        </w:rPr>
        <w:t xml:space="preserve">היא למעשה </w:t>
      </w:r>
      <w:r w:rsidR="00051872" w:rsidRPr="005670B1">
        <w:rPr>
          <w:rFonts w:hint="cs"/>
          <w:rtl/>
        </w:rPr>
        <w:t>חלק אינהרנטי מהסכם הסוכנות</w:t>
      </w:r>
      <w:r w:rsidR="009C6B2C" w:rsidRPr="005670B1">
        <w:rPr>
          <w:rFonts w:hint="cs"/>
          <w:rtl/>
        </w:rPr>
        <w:t xml:space="preserve">, </w:t>
      </w:r>
      <w:r w:rsidR="004C7E5E" w:rsidRPr="005670B1">
        <w:rPr>
          <w:rFonts w:hint="cs"/>
          <w:rtl/>
        </w:rPr>
        <w:t xml:space="preserve">הנדרשת </w:t>
      </w:r>
      <w:r w:rsidR="009C6B2C" w:rsidRPr="005670B1">
        <w:rPr>
          <w:rFonts w:hint="cs"/>
          <w:rtl/>
        </w:rPr>
        <w:t xml:space="preserve">על מנת שהספק יוכל לשאת </w:t>
      </w:r>
      <w:r w:rsidR="001071D3" w:rsidRPr="005670B1">
        <w:rPr>
          <w:rFonts w:hint="cs"/>
          <w:rtl/>
        </w:rPr>
        <w:t xml:space="preserve">בסיכונים הכרוכים </w:t>
      </w:r>
      <w:r w:rsidR="004C7E5E" w:rsidRPr="005670B1">
        <w:rPr>
          <w:rFonts w:hint="cs"/>
          <w:rtl/>
        </w:rPr>
        <w:t xml:space="preserve">בשיווק המוצרים </w:t>
      </w:r>
      <w:r w:rsidR="009C6B2C" w:rsidRPr="005670B1">
        <w:rPr>
          <w:rFonts w:hint="cs"/>
          <w:rtl/>
        </w:rPr>
        <w:t>ול</w:t>
      </w:r>
      <w:r w:rsidR="004C7E5E" w:rsidRPr="005670B1">
        <w:rPr>
          <w:rFonts w:hint="cs"/>
          <w:rtl/>
        </w:rPr>
        <w:t xml:space="preserve">פיכך להיות במצב של קביעת </w:t>
      </w:r>
      <w:r w:rsidR="001071D3" w:rsidRPr="005670B1">
        <w:rPr>
          <w:rFonts w:hint="cs"/>
          <w:rtl/>
        </w:rPr>
        <w:t>האסטרטגיה המסחרית</w:t>
      </w:r>
      <w:r w:rsidR="004C7E5E" w:rsidRPr="005670B1">
        <w:rPr>
          <w:rFonts w:hint="cs"/>
          <w:rtl/>
        </w:rPr>
        <w:t>. כלשון ההנחיות</w:t>
      </w:r>
      <w:r w:rsidR="00051872" w:rsidRPr="005670B1">
        <w:rPr>
          <w:rFonts w:hint="cs"/>
          <w:rtl/>
        </w:rPr>
        <w:t>: "</w:t>
      </w:r>
      <w:r w:rsidR="00051872" w:rsidRPr="005670B1">
        <w:t>The following obligations of the agent's part will be considered to form an inherent part of an agency agreement, as each of them relates to the ability of the principal to fix the scope of activity of the agent in relation to the contract goods or services, which is essential if the principal is to take the risks and therefore to be in a position to determine the commercial strategy:…the prices and conditions at which the agent must sell or purchase these goods or services</w:t>
      </w:r>
      <w:r w:rsidR="00051872" w:rsidRPr="005670B1">
        <w:rPr>
          <w:rFonts w:hint="cs"/>
          <w:rtl/>
        </w:rPr>
        <w:t>"</w:t>
      </w:r>
      <w:r w:rsidR="001071D3" w:rsidRPr="005670B1">
        <w:rPr>
          <w:rFonts w:hint="cs"/>
          <w:rtl/>
        </w:rPr>
        <w:t xml:space="preserve"> (עמ' 8 להנחיות).</w:t>
      </w:r>
      <w:r w:rsidR="00051872" w:rsidRPr="005670B1">
        <w:t xml:space="preserve"> </w:t>
      </w:r>
    </w:p>
  </w:footnote>
  <w:footnote w:id="32">
    <w:p w14:paraId="2D5A50C1" w14:textId="7ECFE4C7" w:rsidR="00F333EB" w:rsidRPr="005670B1" w:rsidRDefault="00F333EB" w:rsidP="00E063D2">
      <w:pPr>
        <w:pStyle w:val="FootnoteText"/>
        <w:rPr>
          <w:rtl/>
        </w:rPr>
      </w:pPr>
      <w:r w:rsidRPr="005670B1">
        <w:rPr>
          <w:rStyle w:val="FootnoteReference"/>
        </w:rPr>
        <w:footnoteRef/>
      </w:r>
      <w:r w:rsidRPr="005670B1">
        <w:rPr>
          <w:rtl/>
        </w:rPr>
        <w:t xml:space="preserve"> </w:t>
      </w:r>
      <w:r w:rsidRPr="005670B1">
        <w:rPr>
          <w:rFonts w:hint="cs"/>
          <w:rtl/>
        </w:rPr>
        <w:t xml:space="preserve">ראו לעניין זה </w:t>
      </w:r>
      <w:r w:rsidR="00E063D2" w:rsidRPr="005670B1">
        <w:rPr>
          <w:rtl/>
        </w:rPr>
        <w:t>החלטה בדבר מתן פטור מאישור הסדר כובל להסדר בין</w:t>
      </w:r>
      <w:r w:rsidR="00E063D2" w:rsidRPr="005670B1">
        <w:rPr>
          <w:rFonts w:hint="cs"/>
          <w:rtl/>
        </w:rPr>
        <w:t xml:space="preserve"> </w:t>
      </w:r>
      <w:r w:rsidR="00E063D2" w:rsidRPr="005670B1">
        <w:rPr>
          <w:rtl/>
        </w:rPr>
        <w:t>דיפלומט מפיצים (1968) בע"מ</w:t>
      </w:r>
      <w:r w:rsidR="00E063D2" w:rsidRPr="005670B1">
        <w:rPr>
          <w:rFonts w:hint="cs"/>
          <w:rtl/>
        </w:rPr>
        <w:t xml:space="preserve"> ו</w:t>
      </w:r>
      <w:r w:rsidR="00E063D2" w:rsidRPr="005670B1">
        <w:rPr>
          <w:rtl/>
        </w:rPr>
        <w:t>סטארקיסט פודור בע"מ</w:t>
      </w:r>
      <w:r w:rsidR="00E063D2" w:rsidRPr="005670B1">
        <w:rPr>
          <w:rFonts w:hint="cs"/>
          <w:rtl/>
        </w:rPr>
        <w:t xml:space="preserve"> (31.7.2006) </w:t>
      </w:r>
      <w:r w:rsidR="00E063D2" w:rsidRPr="005670B1">
        <w:rPr>
          <w:rFonts w:hint="cs"/>
          <w:b/>
          <w:bCs/>
          <w:rtl/>
        </w:rPr>
        <w:t>הגבלים עסקיים</w:t>
      </w:r>
      <w:r w:rsidR="00E063D2" w:rsidRPr="005670B1">
        <w:rPr>
          <w:rFonts w:hint="cs"/>
          <w:rtl/>
        </w:rPr>
        <w:t xml:space="preserve"> 5000452.</w:t>
      </w:r>
    </w:p>
  </w:footnote>
  <w:footnote w:id="33">
    <w:p w14:paraId="724ADCEE" w14:textId="20CD5532" w:rsidR="00923582" w:rsidRPr="005670B1" w:rsidRDefault="00923582" w:rsidP="002C7059">
      <w:pPr>
        <w:pStyle w:val="FootnoteText"/>
        <w:rPr>
          <w:rtl/>
        </w:rPr>
      </w:pPr>
      <w:r w:rsidRPr="005670B1">
        <w:rPr>
          <w:rStyle w:val="FootnoteReference"/>
        </w:rPr>
        <w:footnoteRef/>
      </w:r>
      <w:r w:rsidRPr="005670B1">
        <w:rPr>
          <w:rtl/>
        </w:rPr>
        <w:t xml:space="preserve"> בכפוף לכך שהמחיר המרבי אינו בגדר מחיר טורפני של בעל מונופולין.</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B1C9A" w14:textId="7D992D8C" w:rsidR="007A2D7D" w:rsidRDefault="007A2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46D7C" w14:textId="3B188EEA" w:rsidR="00923582" w:rsidRDefault="00CB6389" w:rsidP="00CD407F">
    <w:pPr>
      <w:pStyle w:val="Header"/>
      <w:jc w:val="center"/>
    </w:pPr>
    <w:sdt>
      <w:sdtPr>
        <w:rPr>
          <w:rtl/>
        </w:rPr>
        <w:id w:val="-770013702"/>
        <w:docPartObj>
          <w:docPartGallery w:val="Page Numbers (Top of Page)"/>
          <w:docPartUnique/>
        </w:docPartObj>
      </w:sdtPr>
      <w:sdtEndPr>
        <w:rPr>
          <w:cs/>
        </w:rPr>
      </w:sdtEndPr>
      <w:sdtContent>
        <w:r w:rsidR="00923582" w:rsidRPr="00E472BE">
          <w:fldChar w:fldCharType="begin"/>
        </w:r>
        <w:r w:rsidR="00923582" w:rsidRPr="00E472BE">
          <w:rPr>
            <w:rtl/>
            <w:cs/>
          </w:rPr>
          <w:instrText>PAGE   \* MERGEFORMAT</w:instrText>
        </w:r>
        <w:r w:rsidR="00923582" w:rsidRPr="00E472BE">
          <w:fldChar w:fldCharType="separate"/>
        </w:r>
        <w:r w:rsidRPr="00CB6389">
          <w:rPr>
            <w:noProof/>
            <w:rtl/>
            <w:lang w:val="he-IL"/>
          </w:rPr>
          <w:t>15</w:t>
        </w:r>
        <w:r w:rsidR="00923582" w:rsidRPr="00E472BE">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78135" w14:textId="24481D4F" w:rsidR="00923582" w:rsidRDefault="00923582" w:rsidP="00E7597B">
    <w:pPr>
      <w:pStyle w:val="Header"/>
      <w:jc w:val="center"/>
      <w:rPr>
        <w:rtl/>
      </w:rPr>
    </w:pPr>
    <w:r w:rsidRPr="004879D2">
      <w:rPr>
        <w:rFonts w:ascii="Times New Roman" w:eastAsia="Times New Roman" w:hAnsi="Times New Roman"/>
        <w:noProof/>
      </w:rPr>
      <w:drawing>
        <wp:inline distT="0" distB="0" distL="0" distR="0" wp14:anchorId="639D9826" wp14:editId="2FE2D16F">
          <wp:extent cx="531495" cy="850900"/>
          <wp:effectExtent l="0" t="0" r="1905" b="6350"/>
          <wp:docPr id="1" name="Picture 1"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1495" cy="850900"/>
                  </a:xfrm>
                  <a:prstGeom prst="rect">
                    <a:avLst/>
                  </a:prstGeom>
                  <a:noFill/>
                  <a:ln>
                    <a:noFill/>
                  </a:ln>
                </pic:spPr>
              </pic:pic>
            </a:graphicData>
          </a:graphic>
        </wp:inline>
      </w:drawing>
    </w:r>
  </w:p>
  <w:p w14:paraId="70D849B6" w14:textId="77777777" w:rsidR="007A2D7D" w:rsidRDefault="007A2D7D" w:rsidP="00E7597B">
    <w:pPr>
      <w:pStyle w:val="Header"/>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816"/>
    <w:multiLevelType w:val="multilevel"/>
    <w:tmpl w:val="8612D3F4"/>
    <w:lvl w:ilvl="0">
      <w:start w:val="1"/>
      <w:numFmt w:val="hebrew1"/>
      <w:pStyle w:val="Heading1"/>
      <w:lvlText w:val="%1."/>
      <w:lvlJc w:val="center"/>
      <w:pPr>
        <w:ind w:left="360" w:hanging="360"/>
      </w:pPr>
      <w:rPr>
        <w:rFonts w:hint="default"/>
      </w:rPr>
    </w:lvl>
    <w:lvl w:ilvl="1">
      <w:start w:val="1"/>
      <w:numFmt w:val="decimal"/>
      <w:lvlText w:val="%1.%2."/>
      <w:lvlJc w:val="left"/>
      <w:pPr>
        <w:ind w:left="792" w:hanging="432"/>
      </w:pPr>
      <w:rPr>
        <w:rFonts w:cs="David"/>
      </w:rPr>
    </w:lvl>
    <w:lvl w:ilvl="2">
      <w:start w:val="1"/>
      <w:numFmt w:val="decimal"/>
      <w:pStyle w:val="Heading3"/>
      <w:lvlText w:val="%1.%2.%3."/>
      <w:lvlJc w:val="left"/>
      <w:pPr>
        <w:ind w:left="1224" w:hanging="504"/>
      </w:pPr>
      <w:rPr>
        <w:rFonts w:cs="David"/>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CA38A9"/>
    <w:multiLevelType w:val="hybridMultilevel"/>
    <w:tmpl w:val="96C2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B5039"/>
    <w:multiLevelType w:val="hybridMultilevel"/>
    <w:tmpl w:val="0EE82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9B788E"/>
    <w:multiLevelType w:val="hybridMultilevel"/>
    <w:tmpl w:val="9CD4F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11981"/>
    <w:multiLevelType w:val="hybridMultilevel"/>
    <w:tmpl w:val="EDFEE82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864A3"/>
    <w:multiLevelType w:val="multilevel"/>
    <w:tmpl w:val="A86CBD34"/>
    <w:lvl w:ilvl="0">
      <w:start w:val="1"/>
      <w:numFmt w:val="hebrew1"/>
      <w:lvlText w:val="%1."/>
      <w:lvlJc w:val="center"/>
      <w:pPr>
        <w:ind w:left="360" w:hanging="360"/>
      </w:pPr>
      <w:rPr>
        <w:rFonts w:cs="David" w:hint="default"/>
        <w:b/>
        <w:bCs/>
        <w:sz w:val="28"/>
        <w:szCs w:val="28"/>
      </w:rPr>
    </w:lvl>
    <w:lvl w:ilvl="1">
      <w:start w:val="1"/>
      <w:numFmt w:val="decimal"/>
      <w:lvlText w:val="%1.%2."/>
      <w:lvlJc w:val="center"/>
      <w:pPr>
        <w:ind w:left="720" w:hanging="360"/>
      </w:pPr>
      <w:rPr>
        <w:sz w:val="24"/>
        <w:szCs w:val="24"/>
        <w:lang w:val="en-U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6" w15:restartNumberingAfterBreak="0">
    <w:nsid w:val="41B21039"/>
    <w:multiLevelType w:val="hybridMultilevel"/>
    <w:tmpl w:val="13DA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54435"/>
    <w:multiLevelType w:val="hybridMultilevel"/>
    <w:tmpl w:val="6BD65614"/>
    <w:lvl w:ilvl="0" w:tplc="DF3451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E36F3"/>
    <w:multiLevelType w:val="multilevel"/>
    <w:tmpl w:val="EAD8F704"/>
    <w:lvl w:ilvl="0">
      <w:start w:val="1"/>
      <w:numFmt w:val="hebrew1"/>
      <w:lvlText w:val="%1."/>
      <w:lvlJc w:val="center"/>
      <w:pPr>
        <w:ind w:left="360" w:hanging="360"/>
      </w:pPr>
      <w:rPr>
        <w:rFonts w:cs="David" w:hint="default"/>
        <w:b/>
        <w:bCs/>
        <w:sz w:val="28"/>
        <w:szCs w:val="28"/>
        <w:lang w:val="en-US"/>
      </w:rPr>
    </w:lvl>
    <w:lvl w:ilvl="1">
      <w:start w:val="1"/>
      <w:numFmt w:val="decimal"/>
      <w:lvlText w:val="%1.%2."/>
      <w:lvlJc w:val="center"/>
      <w:pPr>
        <w:ind w:left="720" w:hanging="360"/>
      </w:pPr>
      <w:rPr>
        <w:sz w:val="24"/>
        <w:szCs w:val="24"/>
        <w:lang w:val="en-US"/>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9" w15:restartNumberingAfterBreak="0">
    <w:nsid w:val="63DB265A"/>
    <w:multiLevelType w:val="hybridMultilevel"/>
    <w:tmpl w:val="20A6C3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E53DCB"/>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3"/>
  </w:num>
  <w:num w:numId="6">
    <w:abstractNumId w:val="1"/>
  </w:num>
  <w:num w:numId="7">
    <w:abstractNumId w:val="6"/>
  </w:num>
  <w:num w:numId="8">
    <w:abstractNumId w:val="9"/>
  </w:num>
  <w:num w:numId="9">
    <w:abstractNumId w:val="5"/>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7B"/>
    <w:rsid w:val="00001468"/>
    <w:rsid w:val="00002C96"/>
    <w:rsid w:val="000030B0"/>
    <w:rsid w:val="0000432A"/>
    <w:rsid w:val="000045E1"/>
    <w:rsid w:val="00004707"/>
    <w:rsid w:val="00005164"/>
    <w:rsid w:val="00005893"/>
    <w:rsid w:val="0000681C"/>
    <w:rsid w:val="00006CC2"/>
    <w:rsid w:val="00007B6F"/>
    <w:rsid w:val="00010798"/>
    <w:rsid w:val="00010F95"/>
    <w:rsid w:val="00011824"/>
    <w:rsid w:val="00014270"/>
    <w:rsid w:val="000158B4"/>
    <w:rsid w:val="00015F3F"/>
    <w:rsid w:val="0002006C"/>
    <w:rsid w:val="0002185C"/>
    <w:rsid w:val="00021B62"/>
    <w:rsid w:val="00022314"/>
    <w:rsid w:val="00022DE0"/>
    <w:rsid w:val="000241CA"/>
    <w:rsid w:val="0002467A"/>
    <w:rsid w:val="000254CE"/>
    <w:rsid w:val="000263E9"/>
    <w:rsid w:val="000268AF"/>
    <w:rsid w:val="00026CF2"/>
    <w:rsid w:val="00027309"/>
    <w:rsid w:val="000275AB"/>
    <w:rsid w:val="00027AB7"/>
    <w:rsid w:val="00027F4E"/>
    <w:rsid w:val="000302C9"/>
    <w:rsid w:val="00030843"/>
    <w:rsid w:val="00030A84"/>
    <w:rsid w:val="00030C55"/>
    <w:rsid w:val="00031D42"/>
    <w:rsid w:val="00031DD0"/>
    <w:rsid w:val="00032184"/>
    <w:rsid w:val="00032988"/>
    <w:rsid w:val="00032EC0"/>
    <w:rsid w:val="000338F6"/>
    <w:rsid w:val="00033DBC"/>
    <w:rsid w:val="00033EF9"/>
    <w:rsid w:val="00034288"/>
    <w:rsid w:val="0003537C"/>
    <w:rsid w:val="00035685"/>
    <w:rsid w:val="000360C4"/>
    <w:rsid w:val="000369DC"/>
    <w:rsid w:val="00037304"/>
    <w:rsid w:val="000408D5"/>
    <w:rsid w:val="00041293"/>
    <w:rsid w:val="00041921"/>
    <w:rsid w:val="00041C6F"/>
    <w:rsid w:val="00042381"/>
    <w:rsid w:val="00042AC1"/>
    <w:rsid w:val="00042B4A"/>
    <w:rsid w:val="00043403"/>
    <w:rsid w:val="000442E0"/>
    <w:rsid w:val="00044518"/>
    <w:rsid w:val="00046148"/>
    <w:rsid w:val="0004650C"/>
    <w:rsid w:val="000508ED"/>
    <w:rsid w:val="00051872"/>
    <w:rsid w:val="000522A1"/>
    <w:rsid w:val="000525F0"/>
    <w:rsid w:val="00052CEA"/>
    <w:rsid w:val="000530D8"/>
    <w:rsid w:val="000536DF"/>
    <w:rsid w:val="00053BDD"/>
    <w:rsid w:val="000543D8"/>
    <w:rsid w:val="00054E43"/>
    <w:rsid w:val="000567B7"/>
    <w:rsid w:val="00057F77"/>
    <w:rsid w:val="00060438"/>
    <w:rsid w:val="00060696"/>
    <w:rsid w:val="0006096A"/>
    <w:rsid w:val="00060D14"/>
    <w:rsid w:val="000638FF"/>
    <w:rsid w:val="0006395A"/>
    <w:rsid w:val="00063D8E"/>
    <w:rsid w:val="00064567"/>
    <w:rsid w:val="000654FF"/>
    <w:rsid w:val="000660E1"/>
    <w:rsid w:val="0006705D"/>
    <w:rsid w:val="000673F1"/>
    <w:rsid w:val="0006742D"/>
    <w:rsid w:val="00067613"/>
    <w:rsid w:val="00070048"/>
    <w:rsid w:val="000719A5"/>
    <w:rsid w:val="00071DB4"/>
    <w:rsid w:val="00073124"/>
    <w:rsid w:val="00073758"/>
    <w:rsid w:val="00075176"/>
    <w:rsid w:val="00075B0D"/>
    <w:rsid w:val="000775A4"/>
    <w:rsid w:val="00077C5E"/>
    <w:rsid w:val="00077CC6"/>
    <w:rsid w:val="00081EB2"/>
    <w:rsid w:val="00081FCD"/>
    <w:rsid w:val="00082648"/>
    <w:rsid w:val="00082EB7"/>
    <w:rsid w:val="00083138"/>
    <w:rsid w:val="00085E38"/>
    <w:rsid w:val="00087D1F"/>
    <w:rsid w:val="00090423"/>
    <w:rsid w:val="00091439"/>
    <w:rsid w:val="000917CA"/>
    <w:rsid w:val="000919B4"/>
    <w:rsid w:val="000919F3"/>
    <w:rsid w:val="000931F6"/>
    <w:rsid w:val="00093264"/>
    <w:rsid w:val="00094158"/>
    <w:rsid w:val="000946A2"/>
    <w:rsid w:val="000959CB"/>
    <w:rsid w:val="00095F7D"/>
    <w:rsid w:val="00096026"/>
    <w:rsid w:val="000968EC"/>
    <w:rsid w:val="00096FBF"/>
    <w:rsid w:val="00097235"/>
    <w:rsid w:val="00097864"/>
    <w:rsid w:val="0009790B"/>
    <w:rsid w:val="00097FEC"/>
    <w:rsid w:val="000A007F"/>
    <w:rsid w:val="000A1AF2"/>
    <w:rsid w:val="000A4255"/>
    <w:rsid w:val="000A45AE"/>
    <w:rsid w:val="000A46EA"/>
    <w:rsid w:val="000A49CC"/>
    <w:rsid w:val="000A4B6F"/>
    <w:rsid w:val="000A4D70"/>
    <w:rsid w:val="000A51E2"/>
    <w:rsid w:val="000A532F"/>
    <w:rsid w:val="000A5C24"/>
    <w:rsid w:val="000A689B"/>
    <w:rsid w:val="000A6CB4"/>
    <w:rsid w:val="000B22CE"/>
    <w:rsid w:val="000B3C05"/>
    <w:rsid w:val="000B3CDB"/>
    <w:rsid w:val="000B426C"/>
    <w:rsid w:val="000B51FF"/>
    <w:rsid w:val="000B557C"/>
    <w:rsid w:val="000B6963"/>
    <w:rsid w:val="000B6A60"/>
    <w:rsid w:val="000B7394"/>
    <w:rsid w:val="000C036A"/>
    <w:rsid w:val="000C04B8"/>
    <w:rsid w:val="000C08C5"/>
    <w:rsid w:val="000C113C"/>
    <w:rsid w:val="000C1245"/>
    <w:rsid w:val="000C19EC"/>
    <w:rsid w:val="000C2387"/>
    <w:rsid w:val="000C2AA1"/>
    <w:rsid w:val="000C2D25"/>
    <w:rsid w:val="000C2FD9"/>
    <w:rsid w:val="000C3493"/>
    <w:rsid w:val="000C3DB9"/>
    <w:rsid w:val="000C42E9"/>
    <w:rsid w:val="000C4848"/>
    <w:rsid w:val="000C53CE"/>
    <w:rsid w:val="000C6294"/>
    <w:rsid w:val="000D0081"/>
    <w:rsid w:val="000D08B2"/>
    <w:rsid w:val="000D11BB"/>
    <w:rsid w:val="000D2248"/>
    <w:rsid w:val="000D238F"/>
    <w:rsid w:val="000D26E9"/>
    <w:rsid w:val="000D3481"/>
    <w:rsid w:val="000D3DEC"/>
    <w:rsid w:val="000D435F"/>
    <w:rsid w:val="000D5527"/>
    <w:rsid w:val="000D58EC"/>
    <w:rsid w:val="000D63FF"/>
    <w:rsid w:val="000D768D"/>
    <w:rsid w:val="000D76CE"/>
    <w:rsid w:val="000E03C4"/>
    <w:rsid w:val="000E1DC1"/>
    <w:rsid w:val="000E44C3"/>
    <w:rsid w:val="000E4734"/>
    <w:rsid w:val="000E4B2E"/>
    <w:rsid w:val="000E4BB2"/>
    <w:rsid w:val="000E4C26"/>
    <w:rsid w:val="000E50C9"/>
    <w:rsid w:val="000E5F9F"/>
    <w:rsid w:val="000E61C6"/>
    <w:rsid w:val="000E6512"/>
    <w:rsid w:val="000E7721"/>
    <w:rsid w:val="000F00A4"/>
    <w:rsid w:val="000F051A"/>
    <w:rsid w:val="000F0D89"/>
    <w:rsid w:val="000F1216"/>
    <w:rsid w:val="000F17D1"/>
    <w:rsid w:val="000F288B"/>
    <w:rsid w:val="000F2FAA"/>
    <w:rsid w:val="000F62B3"/>
    <w:rsid w:val="000F673C"/>
    <w:rsid w:val="000F6C1D"/>
    <w:rsid w:val="000F77E4"/>
    <w:rsid w:val="001009EA"/>
    <w:rsid w:val="00101FA6"/>
    <w:rsid w:val="0010302B"/>
    <w:rsid w:val="00103AE2"/>
    <w:rsid w:val="00104027"/>
    <w:rsid w:val="00104872"/>
    <w:rsid w:val="001054E7"/>
    <w:rsid w:val="0010570C"/>
    <w:rsid w:val="00105B8A"/>
    <w:rsid w:val="001062EA"/>
    <w:rsid w:val="00106307"/>
    <w:rsid w:val="00106520"/>
    <w:rsid w:val="00106B3E"/>
    <w:rsid w:val="001071D3"/>
    <w:rsid w:val="00107C9E"/>
    <w:rsid w:val="0011059C"/>
    <w:rsid w:val="00110814"/>
    <w:rsid w:val="00110D80"/>
    <w:rsid w:val="001132AC"/>
    <w:rsid w:val="00113A53"/>
    <w:rsid w:val="00114B11"/>
    <w:rsid w:val="00114FB3"/>
    <w:rsid w:val="00115B40"/>
    <w:rsid w:val="00115D7D"/>
    <w:rsid w:val="00116FFB"/>
    <w:rsid w:val="001202F2"/>
    <w:rsid w:val="00121622"/>
    <w:rsid w:val="00121963"/>
    <w:rsid w:val="0012209B"/>
    <w:rsid w:val="00125CF7"/>
    <w:rsid w:val="00125E47"/>
    <w:rsid w:val="00125EF3"/>
    <w:rsid w:val="00131F0A"/>
    <w:rsid w:val="00132149"/>
    <w:rsid w:val="00132615"/>
    <w:rsid w:val="00133CD7"/>
    <w:rsid w:val="00133EC8"/>
    <w:rsid w:val="00135973"/>
    <w:rsid w:val="00135F71"/>
    <w:rsid w:val="00136F61"/>
    <w:rsid w:val="00136F74"/>
    <w:rsid w:val="001375DD"/>
    <w:rsid w:val="0013769C"/>
    <w:rsid w:val="00137CCC"/>
    <w:rsid w:val="00137DA5"/>
    <w:rsid w:val="00142C22"/>
    <w:rsid w:val="001448CF"/>
    <w:rsid w:val="00144A4C"/>
    <w:rsid w:val="00146590"/>
    <w:rsid w:val="00146FF7"/>
    <w:rsid w:val="001470E1"/>
    <w:rsid w:val="0015059E"/>
    <w:rsid w:val="00150689"/>
    <w:rsid w:val="00151BCD"/>
    <w:rsid w:val="00151C05"/>
    <w:rsid w:val="001523B6"/>
    <w:rsid w:val="00152609"/>
    <w:rsid w:val="00152C3F"/>
    <w:rsid w:val="001539B9"/>
    <w:rsid w:val="00154682"/>
    <w:rsid w:val="001550CB"/>
    <w:rsid w:val="0015725A"/>
    <w:rsid w:val="00157968"/>
    <w:rsid w:val="001615E2"/>
    <w:rsid w:val="00162793"/>
    <w:rsid w:val="00162832"/>
    <w:rsid w:val="00163259"/>
    <w:rsid w:val="00164788"/>
    <w:rsid w:val="00164A65"/>
    <w:rsid w:val="00165B4B"/>
    <w:rsid w:val="00165B75"/>
    <w:rsid w:val="00165C23"/>
    <w:rsid w:val="00165EB0"/>
    <w:rsid w:val="001661DF"/>
    <w:rsid w:val="00166425"/>
    <w:rsid w:val="0016689B"/>
    <w:rsid w:val="00166C8A"/>
    <w:rsid w:val="00166D89"/>
    <w:rsid w:val="00167771"/>
    <w:rsid w:val="00170C3F"/>
    <w:rsid w:val="00170F69"/>
    <w:rsid w:val="00171329"/>
    <w:rsid w:val="00174E70"/>
    <w:rsid w:val="00176A83"/>
    <w:rsid w:val="00181C93"/>
    <w:rsid w:val="00181D30"/>
    <w:rsid w:val="00182CD5"/>
    <w:rsid w:val="00183C06"/>
    <w:rsid w:val="00184018"/>
    <w:rsid w:val="001841F4"/>
    <w:rsid w:val="0018575C"/>
    <w:rsid w:val="001858B4"/>
    <w:rsid w:val="00185F8D"/>
    <w:rsid w:val="00186614"/>
    <w:rsid w:val="001866BA"/>
    <w:rsid w:val="00186E44"/>
    <w:rsid w:val="00186FE0"/>
    <w:rsid w:val="00187B83"/>
    <w:rsid w:val="001900BC"/>
    <w:rsid w:val="00190141"/>
    <w:rsid w:val="001903E0"/>
    <w:rsid w:val="00190F22"/>
    <w:rsid w:val="001915CA"/>
    <w:rsid w:val="001927C4"/>
    <w:rsid w:val="00192FBD"/>
    <w:rsid w:val="00193872"/>
    <w:rsid w:val="0019486F"/>
    <w:rsid w:val="00194E9C"/>
    <w:rsid w:val="00197841"/>
    <w:rsid w:val="00197ACD"/>
    <w:rsid w:val="00197B07"/>
    <w:rsid w:val="001A0D6A"/>
    <w:rsid w:val="001A0DCC"/>
    <w:rsid w:val="001A13BA"/>
    <w:rsid w:val="001A3542"/>
    <w:rsid w:val="001A570F"/>
    <w:rsid w:val="001A71A3"/>
    <w:rsid w:val="001A79B9"/>
    <w:rsid w:val="001B14B7"/>
    <w:rsid w:val="001B1DD5"/>
    <w:rsid w:val="001B2478"/>
    <w:rsid w:val="001B305B"/>
    <w:rsid w:val="001B4F05"/>
    <w:rsid w:val="001B5334"/>
    <w:rsid w:val="001B5D3B"/>
    <w:rsid w:val="001B7E74"/>
    <w:rsid w:val="001C1377"/>
    <w:rsid w:val="001C17B9"/>
    <w:rsid w:val="001C1FAE"/>
    <w:rsid w:val="001C232D"/>
    <w:rsid w:val="001C2BC6"/>
    <w:rsid w:val="001C2EEF"/>
    <w:rsid w:val="001C330F"/>
    <w:rsid w:val="001C36C6"/>
    <w:rsid w:val="001C3E71"/>
    <w:rsid w:val="001C59BE"/>
    <w:rsid w:val="001C5D48"/>
    <w:rsid w:val="001C5ED6"/>
    <w:rsid w:val="001C5F18"/>
    <w:rsid w:val="001C605F"/>
    <w:rsid w:val="001C682E"/>
    <w:rsid w:val="001C6EFA"/>
    <w:rsid w:val="001C7442"/>
    <w:rsid w:val="001C7F13"/>
    <w:rsid w:val="001D054D"/>
    <w:rsid w:val="001D0D21"/>
    <w:rsid w:val="001D1B5B"/>
    <w:rsid w:val="001D4930"/>
    <w:rsid w:val="001D6167"/>
    <w:rsid w:val="001D6201"/>
    <w:rsid w:val="001E0970"/>
    <w:rsid w:val="001E2983"/>
    <w:rsid w:val="001E3462"/>
    <w:rsid w:val="001E4CC3"/>
    <w:rsid w:val="001E4DEC"/>
    <w:rsid w:val="001E52CE"/>
    <w:rsid w:val="001E5752"/>
    <w:rsid w:val="001E5A0A"/>
    <w:rsid w:val="001E619B"/>
    <w:rsid w:val="001E6277"/>
    <w:rsid w:val="001E78E8"/>
    <w:rsid w:val="001F1150"/>
    <w:rsid w:val="001F1551"/>
    <w:rsid w:val="001F22A7"/>
    <w:rsid w:val="001F27B5"/>
    <w:rsid w:val="001F338C"/>
    <w:rsid w:val="001F35F0"/>
    <w:rsid w:val="001F4468"/>
    <w:rsid w:val="001F4615"/>
    <w:rsid w:val="001F4C3A"/>
    <w:rsid w:val="001F6F4E"/>
    <w:rsid w:val="001F715A"/>
    <w:rsid w:val="002008E6"/>
    <w:rsid w:val="00200AD0"/>
    <w:rsid w:val="00203F88"/>
    <w:rsid w:val="002041D5"/>
    <w:rsid w:val="002043FD"/>
    <w:rsid w:val="00204469"/>
    <w:rsid w:val="002060CE"/>
    <w:rsid w:val="00206355"/>
    <w:rsid w:val="002065E0"/>
    <w:rsid w:val="00206B02"/>
    <w:rsid w:val="00210E80"/>
    <w:rsid w:val="0021173A"/>
    <w:rsid w:val="002137F7"/>
    <w:rsid w:val="002147C9"/>
    <w:rsid w:val="00214F73"/>
    <w:rsid w:val="00215030"/>
    <w:rsid w:val="00215B0D"/>
    <w:rsid w:val="002164D4"/>
    <w:rsid w:val="00217BE9"/>
    <w:rsid w:val="00217E1F"/>
    <w:rsid w:val="00220194"/>
    <w:rsid w:val="002219B0"/>
    <w:rsid w:val="00223EB7"/>
    <w:rsid w:val="00224095"/>
    <w:rsid w:val="00224CDB"/>
    <w:rsid w:val="00224D93"/>
    <w:rsid w:val="0022531A"/>
    <w:rsid w:val="002258AD"/>
    <w:rsid w:val="00226879"/>
    <w:rsid w:val="00227413"/>
    <w:rsid w:val="00227768"/>
    <w:rsid w:val="00227BEC"/>
    <w:rsid w:val="00230809"/>
    <w:rsid w:val="00231381"/>
    <w:rsid w:val="00232B9F"/>
    <w:rsid w:val="00233ABD"/>
    <w:rsid w:val="0023561F"/>
    <w:rsid w:val="00235713"/>
    <w:rsid w:val="002363F5"/>
    <w:rsid w:val="00236D33"/>
    <w:rsid w:val="00237743"/>
    <w:rsid w:val="00240624"/>
    <w:rsid w:val="0024114F"/>
    <w:rsid w:val="00241AA4"/>
    <w:rsid w:val="00241CF3"/>
    <w:rsid w:val="00242EE1"/>
    <w:rsid w:val="002433CE"/>
    <w:rsid w:val="002457E2"/>
    <w:rsid w:val="00245CC9"/>
    <w:rsid w:val="00246107"/>
    <w:rsid w:val="00246225"/>
    <w:rsid w:val="0024642E"/>
    <w:rsid w:val="00246542"/>
    <w:rsid w:val="0024753A"/>
    <w:rsid w:val="00247A0B"/>
    <w:rsid w:val="002502E5"/>
    <w:rsid w:val="0025102D"/>
    <w:rsid w:val="0025114B"/>
    <w:rsid w:val="002511CD"/>
    <w:rsid w:val="002531B8"/>
    <w:rsid w:val="0025379C"/>
    <w:rsid w:val="00253E85"/>
    <w:rsid w:val="00254E6E"/>
    <w:rsid w:val="002563A4"/>
    <w:rsid w:val="002578BB"/>
    <w:rsid w:val="0026016E"/>
    <w:rsid w:val="002617A8"/>
    <w:rsid w:val="00261EAD"/>
    <w:rsid w:val="00261EFC"/>
    <w:rsid w:val="00261F1A"/>
    <w:rsid w:val="00262CAD"/>
    <w:rsid w:val="00262FEE"/>
    <w:rsid w:val="00263675"/>
    <w:rsid w:val="002644D9"/>
    <w:rsid w:val="0026556C"/>
    <w:rsid w:val="00265FC3"/>
    <w:rsid w:val="002669AE"/>
    <w:rsid w:val="0026776C"/>
    <w:rsid w:val="0026791C"/>
    <w:rsid w:val="002702CE"/>
    <w:rsid w:val="002706CF"/>
    <w:rsid w:val="00271F2B"/>
    <w:rsid w:val="00272B73"/>
    <w:rsid w:val="00274075"/>
    <w:rsid w:val="0027441C"/>
    <w:rsid w:val="002750A6"/>
    <w:rsid w:val="00275BD1"/>
    <w:rsid w:val="002768C9"/>
    <w:rsid w:val="002775AF"/>
    <w:rsid w:val="0027778A"/>
    <w:rsid w:val="0027791A"/>
    <w:rsid w:val="0028064F"/>
    <w:rsid w:val="0028155E"/>
    <w:rsid w:val="00281A38"/>
    <w:rsid w:val="00282541"/>
    <w:rsid w:val="002857A5"/>
    <w:rsid w:val="00287889"/>
    <w:rsid w:val="0029016F"/>
    <w:rsid w:val="00290687"/>
    <w:rsid w:val="00290751"/>
    <w:rsid w:val="00290886"/>
    <w:rsid w:val="00291BE3"/>
    <w:rsid w:val="0029213A"/>
    <w:rsid w:val="0029221D"/>
    <w:rsid w:val="00293017"/>
    <w:rsid w:val="002937DC"/>
    <w:rsid w:val="00293917"/>
    <w:rsid w:val="002953D6"/>
    <w:rsid w:val="00295B37"/>
    <w:rsid w:val="00296586"/>
    <w:rsid w:val="00296DDF"/>
    <w:rsid w:val="00297802"/>
    <w:rsid w:val="002A0354"/>
    <w:rsid w:val="002A07A9"/>
    <w:rsid w:val="002A1093"/>
    <w:rsid w:val="002A1BD5"/>
    <w:rsid w:val="002A3BEA"/>
    <w:rsid w:val="002A3E5D"/>
    <w:rsid w:val="002A448B"/>
    <w:rsid w:val="002A497C"/>
    <w:rsid w:val="002A5522"/>
    <w:rsid w:val="002A5C0B"/>
    <w:rsid w:val="002A7E96"/>
    <w:rsid w:val="002B09F7"/>
    <w:rsid w:val="002B0ACA"/>
    <w:rsid w:val="002B1C62"/>
    <w:rsid w:val="002B287A"/>
    <w:rsid w:val="002B366C"/>
    <w:rsid w:val="002B3803"/>
    <w:rsid w:val="002B3DF7"/>
    <w:rsid w:val="002B3E53"/>
    <w:rsid w:val="002B765D"/>
    <w:rsid w:val="002B79D2"/>
    <w:rsid w:val="002B7A16"/>
    <w:rsid w:val="002B7E8D"/>
    <w:rsid w:val="002B7F33"/>
    <w:rsid w:val="002C175B"/>
    <w:rsid w:val="002C1DAA"/>
    <w:rsid w:val="002C2034"/>
    <w:rsid w:val="002C2D4E"/>
    <w:rsid w:val="002C341C"/>
    <w:rsid w:val="002C4170"/>
    <w:rsid w:val="002C453A"/>
    <w:rsid w:val="002C4B86"/>
    <w:rsid w:val="002C5855"/>
    <w:rsid w:val="002C670E"/>
    <w:rsid w:val="002C7059"/>
    <w:rsid w:val="002C76C2"/>
    <w:rsid w:val="002D093D"/>
    <w:rsid w:val="002D172E"/>
    <w:rsid w:val="002D1737"/>
    <w:rsid w:val="002D19BC"/>
    <w:rsid w:val="002D32EC"/>
    <w:rsid w:val="002D4443"/>
    <w:rsid w:val="002D4B1C"/>
    <w:rsid w:val="002D4EC4"/>
    <w:rsid w:val="002D5925"/>
    <w:rsid w:val="002D5FEB"/>
    <w:rsid w:val="002D6043"/>
    <w:rsid w:val="002D6273"/>
    <w:rsid w:val="002D66EF"/>
    <w:rsid w:val="002D6E43"/>
    <w:rsid w:val="002D73DB"/>
    <w:rsid w:val="002D7623"/>
    <w:rsid w:val="002D79F3"/>
    <w:rsid w:val="002E1D39"/>
    <w:rsid w:val="002E1F6D"/>
    <w:rsid w:val="002E2F5C"/>
    <w:rsid w:val="002E5C4C"/>
    <w:rsid w:val="002E5D66"/>
    <w:rsid w:val="002E6EC2"/>
    <w:rsid w:val="002E79CB"/>
    <w:rsid w:val="002F015B"/>
    <w:rsid w:val="002F0FC1"/>
    <w:rsid w:val="002F221B"/>
    <w:rsid w:val="002F34C1"/>
    <w:rsid w:val="002F35C6"/>
    <w:rsid w:val="002F4D75"/>
    <w:rsid w:val="002F621D"/>
    <w:rsid w:val="002F64DA"/>
    <w:rsid w:val="002F7D97"/>
    <w:rsid w:val="002F7E51"/>
    <w:rsid w:val="003000BB"/>
    <w:rsid w:val="00300890"/>
    <w:rsid w:val="003009A2"/>
    <w:rsid w:val="0030257D"/>
    <w:rsid w:val="003026ED"/>
    <w:rsid w:val="00302DDC"/>
    <w:rsid w:val="00302E7D"/>
    <w:rsid w:val="0030528B"/>
    <w:rsid w:val="003055A7"/>
    <w:rsid w:val="00305836"/>
    <w:rsid w:val="00306152"/>
    <w:rsid w:val="0030692A"/>
    <w:rsid w:val="003077FE"/>
    <w:rsid w:val="003078BA"/>
    <w:rsid w:val="00307D37"/>
    <w:rsid w:val="0031009F"/>
    <w:rsid w:val="00310190"/>
    <w:rsid w:val="00311679"/>
    <w:rsid w:val="00311781"/>
    <w:rsid w:val="00311B2F"/>
    <w:rsid w:val="00311BBE"/>
    <w:rsid w:val="00312AF1"/>
    <w:rsid w:val="003131B5"/>
    <w:rsid w:val="00313EBB"/>
    <w:rsid w:val="00314110"/>
    <w:rsid w:val="003141E2"/>
    <w:rsid w:val="00314C76"/>
    <w:rsid w:val="003155CF"/>
    <w:rsid w:val="00316260"/>
    <w:rsid w:val="00316E12"/>
    <w:rsid w:val="00317594"/>
    <w:rsid w:val="00317787"/>
    <w:rsid w:val="00317B86"/>
    <w:rsid w:val="003203D8"/>
    <w:rsid w:val="00321929"/>
    <w:rsid w:val="003224AE"/>
    <w:rsid w:val="003227F6"/>
    <w:rsid w:val="003231DC"/>
    <w:rsid w:val="00323992"/>
    <w:rsid w:val="00323BA9"/>
    <w:rsid w:val="0032520F"/>
    <w:rsid w:val="003254BF"/>
    <w:rsid w:val="00325560"/>
    <w:rsid w:val="00326CD3"/>
    <w:rsid w:val="00327F5E"/>
    <w:rsid w:val="0033023E"/>
    <w:rsid w:val="003304E8"/>
    <w:rsid w:val="003309CA"/>
    <w:rsid w:val="00331855"/>
    <w:rsid w:val="00332477"/>
    <w:rsid w:val="003340F7"/>
    <w:rsid w:val="00334FB8"/>
    <w:rsid w:val="00335B1D"/>
    <w:rsid w:val="00336A9D"/>
    <w:rsid w:val="00337B96"/>
    <w:rsid w:val="00340411"/>
    <w:rsid w:val="00340B3D"/>
    <w:rsid w:val="0034212B"/>
    <w:rsid w:val="00342AA9"/>
    <w:rsid w:val="00343E1A"/>
    <w:rsid w:val="00344BDB"/>
    <w:rsid w:val="00344C31"/>
    <w:rsid w:val="00344DE7"/>
    <w:rsid w:val="00344FB7"/>
    <w:rsid w:val="0034543F"/>
    <w:rsid w:val="00345822"/>
    <w:rsid w:val="00345EC3"/>
    <w:rsid w:val="003469DE"/>
    <w:rsid w:val="00346A9B"/>
    <w:rsid w:val="00346C8C"/>
    <w:rsid w:val="003473C5"/>
    <w:rsid w:val="003515E0"/>
    <w:rsid w:val="00352948"/>
    <w:rsid w:val="00352FFA"/>
    <w:rsid w:val="00353DF8"/>
    <w:rsid w:val="003545E7"/>
    <w:rsid w:val="00354C0A"/>
    <w:rsid w:val="00355CD2"/>
    <w:rsid w:val="00357763"/>
    <w:rsid w:val="00357E5D"/>
    <w:rsid w:val="003600A5"/>
    <w:rsid w:val="00360182"/>
    <w:rsid w:val="003612AA"/>
    <w:rsid w:val="00361486"/>
    <w:rsid w:val="00361859"/>
    <w:rsid w:val="003634BF"/>
    <w:rsid w:val="00363590"/>
    <w:rsid w:val="003656BE"/>
    <w:rsid w:val="00366226"/>
    <w:rsid w:val="00366C41"/>
    <w:rsid w:val="00367AE3"/>
    <w:rsid w:val="003703B5"/>
    <w:rsid w:val="00370991"/>
    <w:rsid w:val="00370F25"/>
    <w:rsid w:val="00371BED"/>
    <w:rsid w:val="00372E39"/>
    <w:rsid w:val="003734E7"/>
    <w:rsid w:val="00373896"/>
    <w:rsid w:val="00374DFF"/>
    <w:rsid w:val="00374E4D"/>
    <w:rsid w:val="00375040"/>
    <w:rsid w:val="00375612"/>
    <w:rsid w:val="00376E24"/>
    <w:rsid w:val="00377D0E"/>
    <w:rsid w:val="00380314"/>
    <w:rsid w:val="00380C1F"/>
    <w:rsid w:val="00380D07"/>
    <w:rsid w:val="0038162D"/>
    <w:rsid w:val="003828D0"/>
    <w:rsid w:val="00384047"/>
    <w:rsid w:val="0038636A"/>
    <w:rsid w:val="0038645D"/>
    <w:rsid w:val="0038649B"/>
    <w:rsid w:val="00386519"/>
    <w:rsid w:val="00386579"/>
    <w:rsid w:val="00386847"/>
    <w:rsid w:val="003903A5"/>
    <w:rsid w:val="003904DD"/>
    <w:rsid w:val="003913BC"/>
    <w:rsid w:val="0039174E"/>
    <w:rsid w:val="00391C49"/>
    <w:rsid w:val="00392951"/>
    <w:rsid w:val="00393323"/>
    <w:rsid w:val="00394BCE"/>
    <w:rsid w:val="00395E76"/>
    <w:rsid w:val="00396753"/>
    <w:rsid w:val="0039773F"/>
    <w:rsid w:val="00397877"/>
    <w:rsid w:val="00397DF5"/>
    <w:rsid w:val="003A0036"/>
    <w:rsid w:val="003A062E"/>
    <w:rsid w:val="003A2706"/>
    <w:rsid w:val="003A2DAA"/>
    <w:rsid w:val="003A3CD6"/>
    <w:rsid w:val="003A4537"/>
    <w:rsid w:val="003A50A8"/>
    <w:rsid w:val="003A681C"/>
    <w:rsid w:val="003A6B8F"/>
    <w:rsid w:val="003A6DDA"/>
    <w:rsid w:val="003A77A0"/>
    <w:rsid w:val="003A7A5D"/>
    <w:rsid w:val="003B12A8"/>
    <w:rsid w:val="003B251A"/>
    <w:rsid w:val="003B308A"/>
    <w:rsid w:val="003B3AF6"/>
    <w:rsid w:val="003B4027"/>
    <w:rsid w:val="003B48B3"/>
    <w:rsid w:val="003B5ABD"/>
    <w:rsid w:val="003B65D7"/>
    <w:rsid w:val="003B6736"/>
    <w:rsid w:val="003B7195"/>
    <w:rsid w:val="003C071B"/>
    <w:rsid w:val="003C308E"/>
    <w:rsid w:val="003C31AE"/>
    <w:rsid w:val="003C32F9"/>
    <w:rsid w:val="003C5617"/>
    <w:rsid w:val="003C75BA"/>
    <w:rsid w:val="003C7F96"/>
    <w:rsid w:val="003C7FFB"/>
    <w:rsid w:val="003D0759"/>
    <w:rsid w:val="003D11D4"/>
    <w:rsid w:val="003D3725"/>
    <w:rsid w:val="003D3C2B"/>
    <w:rsid w:val="003D3F30"/>
    <w:rsid w:val="003D41F9"/>
    <w:rsid w:val="003D42CC"/>
    <w:rsid w:val="003D4F22"/>
    <w:rsid w:val="003D696D"/>
    <w:rsid w:val="003D7BE1"/>
    <w:rsid w:val="003E0A66"/>
    <w:rsid w:val="003E0D7A"/>
    <w:rsid w:val="003E11BB"/>
    <w:rsid w:val="003E1F17"/>
    <w:rsid w:val="003E28CB"/>
    <w:rsid w:val="003E384A"/>
    <w:rsid w:val="003E3C9E"/>
    <w:rsid w:val="003E4356"/>
    <w:rsid w:val="003E4390"/>
    <w:rsid w:val="003E468A"/>
    <w:rsid w:val="003E4C74"/>
    <w:rsid w:val="003E51F1"/>
    <w:rsid w:val="003E5405"/>
    <w:rsid w:val="003E5898"/>
    <w:rsid w:val="003E6596"/>
    <w:rsid w:val="003F04A3"/>
    <w:rsid w:val="003F090C"/>
    <w:rsid w:val="003F17F5"/>
    <w:rsid w:val="003F4B53"/>
    <w:rsid w:val="003F4EF1"/>
    <w:rsid w:val="003F579B"/>
    <w:rsid w:val="003F5AEA"/>
    <w:rsid w:val="003F5C30"/>
    <w:rsid w:val="003F6451"/>
    <w:rsid w:val="0040087D"/>
    <w:rsid w:val="00400D28"/>
    <w:rsid w:val="00401115"/>
    <w:rsid w:val="00401B12"/>
    <w:rsid w:val="00402197"/>
    <w:rsid w:val="00402E01"/>
    <w:rsid w:val="00404B15"/>
    <w:rsid w:val="00405296"/>
    <w:rsid w:val="0040741C"/>
    <w:rsid w:val="004074F7"/>
    <w:rsid w:val="00407722"/>
    <w:rsid w:val="004131DE"/>
    <w:rsid w:val="004134A7"/>
    <w:rsid w:val="0041379E"/>
    <w:rsid w:val="00413C98"/>
    <w:rsid w:val="00413E9A"/>
    <w:rsid w:val="004142A3"/>
    <w:rsid w:val="004144DA"/>
    <w:rsid w:val="0041514B"/>
    <w:rsid w:val="00415AE2"/>
    <w:rsid w:val="004163E2"/>
    <w:rsid w:val="00417C7C"/>
    <w:rsid w:val="00420049"/>
    <w:rsid w:val="00420922"/>
    <w:rsid w:val="00420C58"/>
    <w:rsid w:val="0042200F"/>
    <w:rsid w:val="00427657"/>
    <w:rsid w:val="004314B6"/>
    <w:rsid w:val="00431F6C"/>
    <w:rsid w:val="00432745"/>
    <w:rsid w:val="00433340"/>
    <w:rsid w:val="00433389"/>
    <w:rsid w:val="004343BF"/>
    <w:rsid w:val="004355B6"/>
    <w:rsid w:val="004365F0"/>
    <w:rsid w:val="00436650"/>
    <w:rsid w:val="00437250"/>
    <w:rsid w:val="00440E20"/>
    <w:rsid w:val="00441B22"/>
    <w:rsid w:val="004430FC"/>
    <w:rsid w:val="0044439C"/>
    <w:rsid w:val="0044537D"/>
    <w:rsid w:val="00445F32"/>
    <w:rsid w:val="00446909"/>
    <w:rsid w:val="00447552"/>
    <w:rsid w:val="0044765A"/>
    <w:rsid w:val="00447A58"/>
    <w:rsid w:val="0045034F"/>
    <w:rsid w:val="00450BF4"/>
    <w:rsid w:val="004516AB"/>
    <w:rsid w:val="004520FC"/>
    <w:rsid w:val="00454486"/>
    <w:rsid w:val="00454918"/>
    <w:rsid w:val="00455536"/>
    <w:rsid w:val="0045759C"/>
    <w:rsid w:val="004577D7"/>
    <w:rsid w:val="00457E5D"/>
    <w:rsid w:val="00460004"/>
    <w:rsid w:val="0046062A"/>
    <w:rsid w:val="0046075B"/>
    <w:rsid w:val="004607D1"/>
    <w:rsid w:val="00461639"/>
    <w:rsid w:val="00461A4F"/>
    <w:rsid w:val="00461CA0"/>
    <w:rsid w:val="00463A87"/>
    <w:rsid w:val="004652DC"/>
    <w:rsid w:val="00465831"/>
    <w:rsid w:val="00466068"/>
    <w:rsid w:val="00466EC7"/>
    <w:rsid w:val="00467B74"/>
    <w:rsid w:val="004701C2"/>
    <w:rsid w:val="004706F1"/>
    <w:rsid w:val="0047070C"/>
    <w:rsid w:val="004724F5"/>
    <w:rsid w:val="0047258F"/>
    <w:rsid w:val="00472E6A"/>
    <w:rsid w:val="00472F98"/>
    <w:rsid w:val="004738C6"/>
    <w:rsid w:val="004739A4"/>
    <w:rsid w:val="00474AEE"/>
    <w:rsid w:val="00474B4D"/>
    <w:rsid w:val="00474E97"/>
    <w:rsid w:val="00475378"/>
    <w:rsid w:val="00475EE4"/>
    <w:rsid w:val="004764F9"/>
    <w:rsid w:val="004774F2"/>
    <w:rsid w:val="00477B92"/>
    <w:rsid w:val="00477E5D"/>
    <w:rsid w:val="00480822"/>
    <w:rsid w:val="00481128"/>
    <w:rsid w:val="00481277"/>
    <w:rsid w:val="00481595"/>
    <w:rsid w:val="00481D78"/>
    <w:rsid w:val="0048211C"/>
    <w:rsid w:val="004823C2"/>
    <w:rsid w:val="004825E0"/>
    <w:rsid w:val="00482DD4"/>
    <w:rsid w:val="004847A0"/>
    <w:rsid w:val="004847E7"/>
    <w:rsid w:val="0048588E"/>
    <w:rsid w:val="0048751E"/>
    <w:rsid w:val="0048794C"/>
    <w:rsid w:val="00487A15"/>
    <w:rsid w:val="00490BF0"/>
    <w:rsid w:val="00491311"/>
    <w:rsid w:val="00491F7C"/>
    <w:rsid w:val="00492A41"/>
    <w:rsid w:val="004935AF"/>
    <w:rsid w:val="00493E3C"/>
    <w:rsid w:val="004942C9"/>
    <w:rsid w:val="0049569D"/>
    <w:rsid w:val="0049789F"/>
    <w:rsid w:val="00497C0A"/>
    <w:rsid w:val="00497E0E"/>
    <w:rsid w:val="004A0848"/>
    <w:rsid w:val="004A20AB"/>
    <w:rsid w:val="004A26D3"/>
    <w:rsid w:val="004A2A3F"/>
    <w:rsid w:val="004A2F97"/>
    <w:rsid w:val="004A36BE"/>
    <w:rsid w:val="004A3B04"/>
    <w:rsid w:val="004A6694"/>
    <w:rsid w:val="004A6983"/>
    <w:rsid w:val="004A6DCA"/>
    <w:rsid w:val="004B063E"/>
    <w:rsid w:val="004B0F5C"/>
    <w:rsid w:val="004B152E"/>
    <w:rsid w:val="004B2A86"/>
    <w:rsid w:val="004B37F5"/>
    <w:rsid w:val="004B383D"/>
    <w:rsid w:val="004B3C6A"/>
    <w:rsid w:val="004B3CF7"/>
    <w:rsid w:val="004B4646"/>
    <w:rsid w:val="004B474F"/>
    <w:rsid w:val="004B49FB"/>
    <w:rsid w:val="004B4AD7"/>
    <w:rsid w:val="004B61E5"/>
    <w:rsid w:val="004C0CBC"/>
    <w:rsid w:val="004C18DE"/>
    <w:rsid w:val="004C1D69"/>
    <w:rsid w:val="004C21F3"/>
    <w:rsid w:val="004C2B40"/>
    <w:rsid w:val="004C31F4"/>
    <w:rsid w:val="004C3591"/>
    <w:rsid w:val="004C382A"/>
    <w:rsid w:val="004C3E47"/>
    <w:rsid w:val="004C46D3"/>
    <w:rsid w:val="004C4C69"/>
    <w:rsid w:val="004C4DAA"/>
    <w:rsid w:val="004C4E74"/>
    <w:rsid w:val="004C69B3"/>
    <w:rsid w:val="004C6C0B"/>
    <w:rsid w:val="004C6EA7"/>
    <w:rsid w:val="004C7E5E"/>
    <w:rsid w:val="004D0361"/>
    <w:rsid w:val="004D08DE"/>
    <w:rsid w:val="004D0C25"/>
    <w:rsid w:val="004D16A6"/>
    <w:rsid w:val="004D1F42"/>
    <w:rsid w:val="004D26F4"/>
    <w:rsid w:val="004D2C20"/>
    <w:rsid w:val="004D34D9"/>
    <w:rsid w:val="004D4301"/>
    <w:rsid w:val="004D44EE"/>
    <w:rsid w:val="004D4A56"/>
    <w:rsid w:val="004D4D77"/>
    <w:rsid w:val="004D5105"/>
    <w:rsid w:val="004D5EEE"/>
    <w:rsid w:val="004D6F54"/>
    <w:rsid w:val="004D78EF"/>
    <w:rsid w:val="004D7B61"/>
    <w:rsid w:val="004E053F"/>
    <w:rsid w:val="004E0F66"/>
    <w:rsid w:val="004E1669"/>
    <w:rsid w:val="004E2045"/>
    <w:rsid w:val="004E2FD9"/>
    <w:rsid w:val="004E3A8E"/>
    <w:rsid w:val="004E4E59"/>
    <w:rsid w:val="004E5B15"/>
    <w:rsid w:val="004E621B"/>
    <w:rsid w:val="004E6BA8"/>
    <w:rsid w:val="004E71D7"/>
    <w:rsid w:val="004F1DF1"/>
    <w:rsid w:val="004F1FC6"/>
    <w:rsid w:val="004F2055"/>
    <w:rsid w:val="004F30E9"/>
    <w:rsid w:val="004F3D15"/>
    <w:rsid w:val="004F4020"/>
    <w:rsid w:val="004F4261"/>
    <w:rsid w:val="004F427A"/>
    <w:rsid w:val="004F438A"/>
    <w:rsid w:val="004F4AC3"/>
    <w:rsid w:val="004F4D15"/>
    <w:rsid w:val="004F4FD1"/>
    <w:rsid w:val="004F5F30"/>
    <w:rsid w:val="00500674"/>
    <w:rsid w:val="00500D03"/>
    <w:rsid w:val="0050152F"/>
    <w:rsid w:val="00501DBD"/>
    <w:rsid w:val="005057F9"/>
    <w:rsid w:val="00505D34"/>
    <w:rsid w:val="00510424"/>
    <w:rsid w:val="00510A70"/>
    <w:rsid w:val="00510E8C"/>
    <w:rsid w:val="00512E19"/>
    <w:rsid w:val="00514EAF"/>
    <w:rsid w:val="00515CEE"/>
    <w:rsid w:val="0051646D"/>
    <w:rsid w:val="00516F92"/>
    <w:rsid w:val="005172A6"/>
    <w:rsid w:val="00517376"/>
    <w:rsid w:val="00520778"/>
    <w:rsid w:val="00521666"/>
    <w:rsid w:val="00521AEB"/>
    <w:rsid w:val="00521C96"/>
    <w:rsid w:val="00521F16"/>
    <w:rsid w:val="00523872"/>
    <w:rsid w:val="00524283"/>
    <w:rsid w:val="00524380"/>
    <w:rsid w:val="00524738"/>
    <w:rsid w:val="00524B50"/>
    <w:rsid w:val="005257F8"/>
    <w:rsid w:val="0052699F"/>
    <w:rsid w:val="00526BC9"/>
    <w:rsid w:val="00527E5A"/>
    <w:rsid w:val="00530E58"/>
    <w:rsid w:val="00532827"/>
    <w:rsid w:val="00533100"/>
    <w:rsid w:val="00533E4F"/>
    <w:rsid w:val="005354FD"/>
    <w:rsid w:val="00535CD3"/>
    <w:rsid w:val="00536ECC"/>
    <w:rsid w:val="005370B3"/>
    <w:rsid w:val="005376BB"/>
    <w:rsid w:val="00537ADD"/>
    <w:rsid w:val="00537C55"/>
    <w:rsid w:val="005407F3"/>
    <w:rsid w:val="00540DBA"/>
    <w:rsid w:val="00541BC8"/>
    <w:rsid w:val="00541CDC"/>
    <w:rsid w:val="00541D90"/>
    <w:rsid w:val="005421A0"/>
    <w:rsid w:val="005423C4"/>
    <w:rsid w:val="00542F15"/>
    <w:rsid w:val="0054455F"/>
    <w:rsid w:val="00544FCC"/>
    <w:rsid w:val="0054525D"/>
    <w:rsid w:val="0054562D"/>
    <w:rsid w:val="005470FC"/>
    <w:rsid w:val="0054793E"/>
    <w:rsid w:val="0055033C"/>
    <w:rsid w:val="0055105B"/>
    <w:rsid w:val="005510E8"/>
    <w:rsid w:val="00551721"/>
    <w:rsid w:val="005525EF"/>
    <w:rsid w:val="005525FD"/>
    <w:rsid w:val="005539BE"/>
    <w:rsid w:val="0055424F"/>
    <w:rsid w:val="005544AE"/>
    <w:rsid w:val="0055571B"/>
    <w:rsid w:val="005563A3"/>
    <w:rsid w:val="00556410"/>
    <w:rsid w:val="00556A9D"/>
    <w:rsid w:val="005573CB"/>
    <w:rsid w:val="0055789A"/>
    <w:rsid w:val="00560761"/>
    <w:rsid w:val="0056170A"/>
    <w:rsid w:val="0056195D"/>
    <w:rsid w:val="005620DD"/>
    <w:rsid w:val="005650C7"/>
    <w:rsid w:val="0056629F"/>
    <w:rsid w:val="005670B1"/>
    <w:rsid w:val="005671D9"/>
    <w:rsid w:val="00567680"/>
    <w:rsid w:val="00570278"/>
    <w:rsid w:val="005704B9"/>
    <w:rsid w:val="00570E67"/>
    <w:rsid w:val="00570ECE"/>
    <w:rsid w:val="00570F64"/>
    <w:rsid w:val="005711E8"/>
    <w:rsid w:val="00571956"/>
    <w:rsid w:val="00571B19"/>
    <w:rsid w:val="00572457"/>
    <w:rsid w:val="00573BA6"/>
    <w:rsid w:val="00573E5C"/>
    <w:rsid w:val="0057403C"/>
    <w:rsid w:val="00574D36"/>
    <w:rsid w:val="00575241"/>
    <w:rsid w:val="00575435"/>
    <w:rsid w:val="00575D9E"/>
    <w:rsid w:val="00577205"/>
    <w:rsid w:val="005772C6"/>
    <w:rsid w:val="00577623"/>
    <w:rsid w:val="00580388"/>
    <w:rsid w:val="00580541"/>
    <w:rsid w:val="005822A2"/>
    <w:rsid w:val="005825C5"/>
    <w:rsid w:val="0058281C"/>
    <w:rsid w:val="00582D49"/>
    <w:rsid w:val="00582EC9"/>
    <w:rsid w:val="00585744"/>
    <w:rsid w:val="00585CA1"/>
    <w:rsid w:val="00585E82"/>
    <w:rsid w:val="005860BA"/>
    <w:rsid w:val="00587F9F"/>
    <w:rsid w:val="00590C98"/>
    <w:rsid w:val="00590FEC"/>
    <w:rsid w:val="00591022"/>
    <w:rsid w:val="00591E5B"/>
    <w:rsid w:val="0059245D"/>
    <w:rsid w:val="00592709"/>
    <w:rsid w:val="0059327A"/>
    <w:rsid w:val="00593583"/>
    <w:rsid w:val="0059430D"/>
    <w:rsid w:val="00594590"/>
    <w:rsid w:val="00596180"/>
    <w:rsid w:val="00597BFA"/>
    <w:rsid w:val="005A0C7B"/>
    <w:rsid w:val="005A0EE2"/>
    <w:rsid w:val="005A1F95"/>
    <w:rsid w:val="005A2852"/>
    <w:rsid w:val="005A2EC4"/>
    <w:rsid w:val="005A368C"/>
    <w:rsid w:val="005A418E"/>
    <w:rsid w:val="005A4D07"/>
    <w:rsid w:val="005A6E05"/>
    <w:rsid w:val="005A7C3D"/>
    <w:rsid w:val="005B05AD"/>
    <w:rsid w:val="005B0A64"/>
    <w:rsid w:val="005B0DB1"/>
    <w:rsid w:val="005B1169"/>
    <w:rsid w:val="005B13B3"/>
    <w:rsid w:val="005B1630"/>
    <w:rsid w:val="005B2ED6"/>
    <w:rsid w:val="005B3929"/>
    <w:rsid w:val="005B3A79"/>
    <w:rsid w:val="005B3EE9"/>
    <w:rsid w:val="005B46AC"/>
    <w:rsid w:val="005B4A90"/>
    <w:rsid w:val="005B6E1C"/>
    <w:rsid w:val="005B7811"/>
    <w:rsid w:val="005B7B7B"/>
    <w:rsid w:val="005B7D06"/>
    <w:rsid w:val="005B7E5C"/>
    <w:rsid w:val="005C25B3"/>
    <w:rsid w:val="005C2A6F"/>
    <w:rsid w:val="005C47A4"/>
    <w:rsid w:val="005C4CE2"/>
    <w:rsid w:val="005C59C7"/>
    <w:rsid w:val="005C5D98"/>
    <w:rsid w:val="005C604D"/>
    <w:rsid w:val="005C7934"/>
    <w:rsid w:val="005D024D"/>
    <w:rsid w:val="005D0B42"/>
    <w:rsid w:val="005D0F37"/>
    <w:rsid w:val="005D1543"/>
    <w:rsid w:val="005D1AA9"/>
    <w:rsid w:val="005D2C72"/>
    <w:rsid w:val="005D3CAA"/>
    <w:rsid w:val="005D470F"/>
    <w:rsid w:val="005D4D1B"/>
    <w:rsid w:val="005D51E5"/>
    <w:rsid w:val="005D54E2"/>
    <w:rsid w:val="005D59C0"/>
    <w:rsid w:val="005D5EF2"/>
    <w:rsid w:val="005D6174"/>
    <w:rsid w:val="005D62DB"/>
    <w:rsid w:val="005D78C0"/>
    <w:rsid w:val="005E08D5"/>
    <w:rsid w:val="005E112B"/>
    <w:rsid w:val="005E1554"/>
    <w:rsid w:val="005E20D3"/>
    <w:rsid w:val="005E2A38"/>
    <w:rsid w:val="005E2C4A"/>
    <w:rsid w:val="005E377E"/>
    <w:rsid w:val="005E410A"/>
    <w:rsid w:val="005E51AF"/>
    <w:rsid w:val="005E51EE"/>
    <w:rsid w:val="005E5B3F"/>
    <w:rsid w:val="005E607F"/>
    <w:rsid w:val="005E7BA5"/>
    <w:rsid w:val="005F0044"/>
    <w:rsid w:val="005F0A08"/>
    <w:rsid w:val="005F1D4B"/>
    <w:rsid w:val="005F3A7A"/>
    <w:rsid w:val="005F452F"/>
    <w:rsid w:val="005F4A6C"/>
    <w:rsid w:val="005F5762"/>
    <w:rsid w:val="005F6CBB"/>
    <w:rsid w:val="005F7492"/>
    <w:rsid w:val="005F77D9"/>
    <w:rsid w:val="0060025F"/>
    <w:rsid w:val="00600869"/>
    <w:rsid w:val="0060090E"/>
    <w:rsid w:val="006013CE"/>
    <w:rsid w:val="00601774"/>
    <w:rsid w:val="00602209"/>
    <w:rsid w:val="00602EA8"/>
    <w:rsid w:val="00602F73"/>
    <w:rsid w:val="006035A4"/>
    <w:rsid w:val="0060530C"/>
    <w:rsid w:val="0060628F"/>
    <w:rsid w:val="0060763B"/>
    <w:rsid w:val="00607D53"/>
    <w:rsid w:val="006103E3"/>
    <w:rsid w:val="00610AD1"/>
    <w:rsid w:val="006123F5"/>
    <w:rsid w:val="00612897"/>
    <w:rsid w:val="0061341A"/>
    <w:rsid w:val="00613F6E"/>
    <w:rsid w:val="00615A2F"/>
    <w:rsid w:val="00615C59"/>
    <w:rsid w:val="00616245"/>
    <w:rsid w:val="00617896"/>
    <w:rsid w:val="006178E0"/>
    <w:rsid w:val="00617AD9"/>
    <w:rsid w:val="00620083"/>
    <w:rsid w:val="00621DB0"/>
    <w:rsid w:val="00621FF7"/>
    <w:rsid w:val="00622267"/>
    <w:rsid w:val="006223E6"/>
    <w:rsid w:val="0062328F"/>
    <w:rsid w:val="00623D0B"/>
    <w:rsid w:val="00623F44"/>
    <w:rsid w:val="00624BBB"/>
    <w:rsid w:val="00624BCC"/>
    <w:rsid w:val="00624D13"/>
    <w:rsid w:val="00625524"/>
    <w:rsid w:val="00625CC1"/>
    <w:rsid w:val="00626550"/>
    <w:rsid w:val="006265E4"/>
    <w:rsid w:val="006270D4"/>
    <w:rsid w:val="00627929"/>
    <w:rsid w:val="006305A2"/>
    <w:rsid w:val="00631928"/>
    <w:rsid w:val="00632EC0"/>
    <w:rsid w:val="00633091"/>
    <w:rsid w:val="00633098"/>
    <w:rsid w:val="00634381"/>
    <w:rsid w:val="00634AB2"/>
    <w:rsid w:val="006354B5"/>
    <w:rsid w:val="00635ECE"/>
    <w:rsid w:val="0063706E"/>
    <w:rsid w:val="006372C8"/>
    <w:rsid w:val="006376EF"/>
    <w:rsid w:val="00637FC8"/>
    <w:rsid w:val="0064007E"/>
    <w:rsid w:val="0064136F"/>
    <w:rsid w:val="006423AE"/>
    <w:rsid w:val="00642FB5"/>
    <w:rsid w:val="006440C8"/>
    <w:rsid w:val="00644A43"/>
    <w:rsid w:val="00644CD4"/>
    <w:rsid w:val="00644F2C"/>
    <w:rsid w:val="00650009"/>
    <w:rsid w:val="006509B1"/>
    <w:rsid w:val="00650D44"/>
    <w:rsid w:val="00651C84"/>
    <w:rsid w:val="00652DF2"/>
    <w:rsid w:val="0065388E"/>
    <w:rsid w:val="0065456D"/>
    <w:rsid w:val="006546D4"/>
    <w:rsid w:val="00655E8B"/>
    <w:rsid w:val="0065677F"/>
    <w:rsid w:val="006603D3"/>
    <w:rsid w:val="00660924"/>
    <w:rsid w:val="00660A1A"/>
    <w:rsid w:val="00661124"/>
    <w:rsid w:val="00661127"/>
    <w:rsid w:val="00661514"/>
    <w:rsid w:val="006617AD"/>
    <w:rsid w:val="00661AC1"/>
    <w:rsid w:val="00662235"/>
    <w:rsid w:val="00662ED1"/>
    <w:rsid w:val="00664103"/>
    <w:rsid w:val="006641A5"/>
    <w:rsid w:val="00664559"/>
    <w:rsid w:val="00665608"/>
    <w:rsid w:val="006669A9"/>
    <w:rsid w:val="006675D2"/>
    <w:rsid w:val="00670112"/>
    <w:rsid w:val="00670D71"/>
    <w:rsid w:val="00670F88"/>
    <w:rsid w:val="0067129C"/>
    <w:rsid w:val="0067199D"/>
    <w:rsid w:val="006720CF"/>
    <w:rsid w:val="006723A3"/>
    <w:rsid w:val="00672C84"/>
    <w:rsid w:val="00673323"/>
    <w:rsid w:val="00673433"/>
    <w:rsid w:val="00673F33"/>
    <w:rsid w:val="00676564"/>
    <w:rsid w:val="00677036"/>
    <w:rsid w:val="00677276"/>
    <w:rsid w:val="00677D3D"/>
    <w:rsid w:val="006808AF"/>
    <w:rsid w:val="006808F2"/>
    <w:rsid w:val="00680F90"/>
    <w:rsid w:val="0068298E"/>
    <w:rsid w:val="006847A8"/>
    <w:rsid w:val="00684938"/>
    <w:rsid w:val="00684BEE"/>
    <w:rsid w:val="00685C96"/>
    <w:rsid w:val="00686364"/>
    <w:rsid w:val="006869DC"/>
    <w:rsid w:val="00687CD4"/>
    <w:rsid w:val="0069139C"/>
    <w:rsid w:val="00691FF0"/>
    <w:rsid w:val="006930C9"/>
    <w:rsid w:val="006937BE"/>
    <w:rsid w:val="00696C4E"/>
    <w:rsid w:val="006A0111"/>
    <w:rsid w:val="006A0683"/>
    <w:rsid w:val="006A1DC1"/>
    <w:rsid w:val="006A26CE"/>
    <w:rsid w:val="006A44C2"/>
    <w:rsid w:val="006A4A4E"/>
    <w:rsid w:val="006A519A"/>
    <w:rsid w:val="006A57C9"/>
    <w:rsid w:val="006A5DD6"/>
    <w:rsid w:val="006A6879"/>
    <w:rsid w:val="006A6903"/>
    <w:rsid w:val="006A69AC"/>
    <w:rsid w:val="006B0A7B"/>
    <w:rsid w:val="006B1047"/>
    <w:rsid w:val="006B1557"/>
    <w:rsid w:val="006B16F6"/>
    <w:rsid w:val="006B1C87"/>
    <w:rsid w:val="006B2A7C"/>
    <w:rsid w:val="006B32AB"/>
    <w:rsid w:val="006B62B6"/>
    <w:rsid w:val="006B6455"/>
    <w:rsid w:val="006B7E10"/>
    <w:rsid w:val="006C0AF3"/>
    <w:rsid w:val="006C0FFE"/>
    <w:rsid w:val="006C1EDD"/>
    <w:rsid w:val="006C2401"/>
    <w:rsid w:val="006C280D"/>
    <w:rsid w:val="006C2A00"/>
    <w:rsid w:val="006C2A29"/>
    <w:rsid w:val="006C3294"/>
    <w:rsid w:val="006C46C1"/>
    <w:rsid w:val="006C5E41"/>
    <w:rsid w:val="006C6254"/>
    <w:rsid w:val="006C7113"/>
    <w:rsid w:val="006D033B"/>
    <w:rsid w:val="006D0374"/>
    <w:rsid w:val="006D197F"/>
    <w:rsid w:val="006D2211"/>
    <w:rsid w:val="006D29D6"/>
    <w:rsid w:val="006D3816"/>
    <w:rsid w:val="006D3FDC"/>
    <w:rsid w:val="006D5D33"/>
    <w:rsid w:val="006D5ECF"/>
    <w:rsid w:val="006D5EF2"/>
    <w:rsid w:val="006D6A3B"/>
    <w:rsid w:val="006D7E67"/>
    <w:rsid w:val="006D7F93"/>
    <w:rsid w:val="006E01AB"/>
    <w:rsid w:val="006E17D3"/>
    <w:rsid w:val="006E1AD9"/>
    <w:rsid w:val="006E230B"/>
    <w:rsid w:val="006E26F4"/>
    <w:rsid w:val="006E2B75"/>
    <w:rsid w:val="006E3B36"/>
    <w:rsid w:val="006E4C1D"/>
    <w:rsid w:val="006E56F0"/>
    <w:rsid w:val="006E6592"/>
    <w:rsid w:val="006E7CB9"/>
    <w:rsid w:val="006F1839"/>
    <w:rsid w:val="006F1960"/>
    <w:rsid w:val="006F331D"/>
    <w:rsid w:val="006F3E82"/>
    <w:rsid w:val="00700D0D"/>
    <w:rsid w:val="007011C0"/>
    <w:rsid w:val="00701435"/>
    <w:rsid w:val="007021DA"/>
    <w:rsid w:val="007022B3"/>
    <w:rsid w:val="0070296A"/>
    <w:rsid w:val="007037B6"/>
    <w:rsid w:val="007044A1"/>
    <w:rsid w:val="0070470B"/>
    <w:rsid w:val="00705086"/>
    <w:rsid w:val="00706AA1"/>
    <w:rsid w:val="00706DF9"/>
    <w:rsid w:val="00706E2E"/>
    <w:rsid w:val="00711561"/>
    <w:rsid w:val="0071219B"/>
    <w:rsid w:val="0071257E"/>
    <w:rsid w:val="0071574F"/>
    <w:rsid w:val="00715A23"/>
    <w:rsid w:val="00715D81"/>
    <w:rsid w:val="007160E5"/>
    <w:rsid w:val="00716D6A"/>
    <w:rsid w:val="00717D79"/>
    <w:rsid w:val="00720CDA"/>
    <w:rsid w:val="00721058"/>
    <w:rsid w:val="007223C5"/>
    <w:rsid w:val="00722C83"/>
    <w:rsid w:val="0072315F"/>
    <w:rsid w:val="00724190"/>
    <w:rsid w:val="00725F87"/>
    <w:rsid w:val="0072648D"/>
    <w:rsid w:val="00727689"/>
    <w:rsid w:val="00730996"/>
    <w:rsid w:val="00730B6A"/>
    <w:rsid w:val="00731FD7"/>
    <w:rsid w:val="00732B4A"/>
    <w:rsid w:val="00732C63"/>
    <w:rsid w:val="0073457A"/>
    <w:rsid w:val="007368BA"/>
    <w:rsid w:val="00736C16"/>
    <w:rsid w:val="00740074"/>
    <w:rsid w:val="00741CE6"/>
    <w:rsid w:val="00742C60"/>
    <w:rsid w:val="0074321D"/>
    <w:rsid w:val="0074351E"/>
    <w:rsid w:val="00744853"/>
    <w:rsid w:val="00744B94"/>
    <w:rsid w:val="007464CE"/>
    <w:rsid w:val="00747043"/>
    <w:rsid w:val="00747847"/>
    <w:rsid w:val="00750973"/>
    <w:rsid w:val="00751008"/>
    <w:rsid w:val="00751B45"/>
    <w:rsid w:val="007521CB"/>
    <w:rsid w:val="007529A7"/>
    <w:rsid w:val="00753478"/>
    <w:rsid w:val="00753916"/>
    <w:rsid w:val="00753DF6"/>
    <w:rsid w:val="00754585"/>
    <w:rsid w:val="00754B36"/>
    <w:rsid w:val="00755465"/>
    <w:rsid w:val="007554A9"/>
    <w:rsid w:val="0075703D"/>
    <w:rsid w:val="00760B22"/>
    <w:rsid w:val="00760EEF"/>
    <w:rsid w:val="00761538"/>
    <w:rsid w:val="00761AE8"/>
    <w:rsid w:val="00762773"/>
    <w:rsid w:val="007632D2"/>
    <w:rsid w:val="007635FA"/>
    <w:rsid w:val="00763D0B"/>
    <w:rsid w:val="00763E10"/>
    <w:rsid w:val="007647C7"/>
    <w:rsid w:val="00764878"/>
    <w:rsid w:val="00764B88"/>
    <w:rsid w:val="0076546A"/>
    <w:rsid w:val="007659D3"/>
    <w:rsid w:val="00766CA7"/>
    <w:rsid w:val="007672D9"/>
    <w:rsid w:val="007679F7"/>
    <w:rsid w:val="007704C4"/>
    <w:rsid w:val="0077076E"/>
    <w:rsid w:val="007710D6"/>
    <w:rsid w:val="0077230F"/>
    <w:rsid w:val="00772973"/>
    <w:rsid w:val="00772A19"/>
    <w:rsid w:val="00772CD1"/>
    <w:rsid w:val="00775ADA"/>
    <w:rsid w:val="00776085"/>
    <w:rsid w:val="00776122"/>
    <w:rsid w:val="00776288"/>
    <w:rsid w:val="0077725C"/>
    <w:rsid w:val="00777879"/>
    <w:rsid w:val="00780ED4"/>
    <w:rsid w:val="0078130F"/>
    <w:rsid w:val="00781326"/>
    <w:rsid w:val="0078228D"/>
    <w:rsid w:val="00782DB3"/>
    <w:rsid w:val="00784DFD"/>
    <w:rsid w:val="007853D8"/>
    <w:rsid w:val="0078547D"/>
    <w:rsid w:val="007863E2"/>
    <w:rsid w:val="007874DB"/>
    <w:rsid w:val="007909CE"/>
    <w:rsid w:val="00791922"/>
    <w:rsid w:val="00791F42"/>
    <w:rsid w:val="00792152"/>
    <w:rsid w:val="00792C37"/>
    <w:rsid w:val="00793142"/>
    <w:rsid w:val="00793879"/>
    <w:rsid w:val="00794082"/>
    <w:rsid w:val="007945DD"/>
    <w:rsid w:val="007952C3"/>
    <w:rsid w:val="007964EA"/>
    <w:rsid w:val="00796823"/>
    <w:rsid w:val="007A0949"/>
    <w:rsid w:val="007A163C"/>
    <w:rsid w:val="007A1748"/>
    <w:rsid w:val="007A1FED"/>
    <w:rsid w:val="007A2639"/>
    <w:rsid w:val="007A2872"/>
    <w:rsid w:val="007A2A51"/>
    <w:rsid w:val="007A2D7D"/>
    <w:rsid w:val="007A2FCE"/>
    <w:rsid w:val="007A43A8"/>
    <w:rsid w:val="007A4705"/>
    <w:rsid w:val="007A4F0C"/>
    <w:rsid w:val="007A6178"/>
    <w:rsid w:val="007B05BC"/>
    <w:rsid w:val="007B154E"/>
    <w:rsid w:val="007B1701"/>
    <w:rsid w:val="007B170F"/>
    <w:rsid w:val="007B1C4E"/>
    <w:rsid w:val="007B2184"/>
    <w:rsid w:val="007B3755"/>
    <w:rsid w:val="007B3F38"/>
    <w:rsid w:val="007B476C"/>
    <w:rsid w:val="007B656A"/>
    <w:rsid w:val="007B6D08"/>
    <w:rsid w:val="007B7484"/>
    <w:rsid w:val="007B76CF"/>
    <w:rsid w:val="007C0779"/>
    <w:rsid w:val="007C0A3A"/>
    <w:rsid w:val="007C3491"/>
    <w:rsid w:val="007C3F1D"/>
    <w:rsid w:val="007C4DD1"/>
    <w:rsid w:val="007C6815"/>
    <w:rsid w:val="007C6CAB"/>
    <w:rsid w:val="007D06B8"/>
    <w:rsid w:val="007D079A"/>
    <w:rsid w:val="007D0D9E"/>
    <w:rsid w:val="007D12AF"/>
    <w:rsid w:val="007D14B4"/>
    <w:rsid w:val="007D15E3"/>
    <w:rsid w:val="007D1A56"/>
    <w:rsid w:val="007D2B61"/>
    <w:rsid w:val="007D3251"/>
    <w:rsid w:val="007D35E8"/>
    <w:rsid w:val="007D3D78"/>
    <w:rsid w:val="007D3ED9"/>
    <w:rsid w:val="007D4821"/>
    <w:rsid w:val="007D4B9B"/>
    <w:rsid w:val="007D50C6"/>
    <w:rsid w:val="007D65A9"/>
    <w:rsid w:val="007D7674"/>
    <w:rsid w:val="007E14DC"/>
    <w:rsid w:val="007E1B27"/>
    <w:rsid w:val="007E2044"/>
    <w:rsid w:val="007E240A"/>
    <w:rsid w:val="007E38C6"/>
    <w:rsid w:val="007E4AAC"/>
    <w:rsid w:val="007E4F72"/>
    <w:rsid w:val="007E5584"/>
    <w:rsid w:val="007E66D1"/>
    <w:rsid w:val="007E7216"/>
    <w:rsid w:val="007E721E"/>
    <w:rsid w:val="007E766F"/>
    <w:rsid w:val="007E784E"/>
    <w:rsid w:val="007E79B7"/>
    <w:rsid w:val="007F0C8C"/>
    <w:rsid w:val="007F1555"/>
    <w:rsid w:val="007F1895"/>
    <w:rsid w:val="007F2713"/>
    <w:rsid w:val="007F3D48"/>
    <w:rsid w:val="007F3FB6"/>
    <w:rsid w:val="007F41BC"/>
    <w:rsid w:val="007F4218"/>
    <w:rsid w:val="007F525D"/>
    <w:rsid w:val="007F5EEB"/>
    <w:rsid w:val="007F7CB3"/>
    <w:rsid w:val="00800C2D"/>
    <w:rsid w:val="00802BCE"/>
    <w:rsid w:val="00802FD7"/>
    <w:rsid w:val="008032F9"/>
    <w:rsid w:val="008043F2"/>
    <w:rsid w:val="008046FB"/>
    <w:rsid w:val="00804AAE"/>
    <w:rsid w:val="00805454"/>
    <w:rsid w:val="0080651B"/>
    <w:rsid w:val="00806D8D"/>
    <w:rsid w:val="00806E54"/>
    <w:rsid w:val="008100FE"/>
    <w:rsid w:val="008114F8"/>
    <w:rsid w:val="008124AB"/>
    <w:rsid w:val="00812944"/>
    <w:rsid w:val="00813286"/>
    <w:rsid w:val="00814969"/>
    <w:rsid w:val="008149F5"/>
    <w:rsid w:val="00815114"/>
    <w:rsid w:val="00815338"/>
    <w:rsid w:val="0081535B"/>
    <w:rsid w:val="008162F0"/>
    <w:rsid w:val="00817DBC"/>
    <w:rsid w:val="00817EE1"/>
    <w:rsid w:val="008207AD"/>
    <w:rsid w:val="00821081"/>
    <w:rsid w:val="008217EF"/>
    <w:rsid w:val="00821BE4"/>
    <w:rsid w:val="00822C17"/>
    <w:rsid w:val="0082327B"/>
    <w:rsid w:val="00823C3C"/>
    <w:rsid w:val="00824086"/>
    <w:rsid w:val="0082527D"/>
    <w:rsid w:val="00825505"/>
    <w:rsid w:val="00825EAA"/>
    <w:rsid w:val="008275AF"/>
    <w:rsid w:val="008279AD"/>
    <w:rsid w:val="0083049B"/>
    <w:rsid w:val="00830F69"/>
    <w:rsid w:val="008317B1"/>
    <w:rsid w:val="00832092"/>
    <w:rsid w:val="00833BC7"/>
    <w:rsid w:val="00835300"/>
    <w:rsid w:val="00835DAA"/>
    <w:rsid w:val="00835E63"/>
    <w:rsid w:val="00835F17"/>
    <w:rsid w:val="00836848"/>
    <w:rsid w:val="008371F7"/>
    <w:rsid w:val="008402D0"/>
    <w:rsid w:val="00842099"/>
    <w:rsid w:val="00843F0F"/>
    <w:rsid w:val="00845F4D"/>
    <w:rsid w:val="00847053"/>
    <w:rsid w:val="00847196"/>
    <w:rsid w:val="00847AE2"/>
    <w:rsid w:val="00850BC4"/>
    <w:rsid w:val="0085167B"/>
    <w:rsid w:val="00851728"/>
    <w:rsid w:val="00851960"/>
    <w:rsid w:val="00851B86"/>
    <w:rsid w:val="00851D1B"/>
    <w:rsid w:val="00852A53"/>
    <w:rsid w:val="008534E2"/>
    <w:rsid w:val="0085414E"/>
    <w:rsid w:val="008544F4"/>
    <w:rsid w:val="00855A31"/>
    <w:rsid w:val="00856DA4"/>
    <w:rsid w:val="008572DE"/>
    <w:rsid w:val="00857A45"/>
    <w:rsid w:val="00861501"/>
    <w:rsid w:val="008621B6"/>
    <w:rsid w:val="00863CC4"/>
    <w:rsid w:val="00863E1D"/>
    <w:rsid w:val="008643E7"/>
    <w:rsid w:val="00864A90"/>
    <w:rsid w:val="00865D73"/>
    <w:rsid w:val="00865D98"/>
    <w:rsid w:val="00867BAF"/>
    <w:rsid w:val="0087160B"/>
    <w:rsid w:val="00871C2C"/>
    <w:rsid w:val="008727EB"/>
    <w:rsid w:val="00873DFF"/>
    <w:rsid w:val="008743EC"/>
    <w:rsid w:val="00876BAD"/>
    <w:rsid w:val="00877004"/>
    <w:rsid w:val="008770C8"/>
    <w:rsid w:val="00880452"/>
    <w:rsid w:val="0088110A"/>
    <w:rsid w:val="00882729"/>
    <w:rsid w:val="00882870"/>
    <w:rsid w:val="00882FE6"/>
    <w:rsid w:val="00883AC5"/>
    <w:rsid w:val="0088461F"/>
    <w:rsid w:val="0088502E"/>
    <w:rsid w:val="00885800"/>
    <w:rsid w:val="00886985"/>
    <w:rsid w:val="00890813"/>
    <w:rsid w:val="00890D4A"/>
    <w:rsid w:val="008914EC"/>
    <w:rsid w:val="00891B64"/>
    <w:rsid w:val="00892137"/>
    <w:rsid w:val="00892C5B"/>
    <w:rsid w:val="0089300F"/>
    <w:rsid w:val="0089315F"/>
    <w:rsid w:val="008953BC"/>
    <w:rsid w:val="00895420"/>
    <w:rsid w:val="0089549F"/>
    <w:rsid w:val="008956A4"/>
    <w:rsid w:val="00895B54"/>
    <w:rsid w:val="008969D7"/>
    <w:rsid w:val="00897640"/>
    <w:rsid w:val="008A10BB"/>
    <w:rsid w:val="008A1435"/>
    <w:rsid w:val="008A15D9"/>
    <w:rsid w:val="008A22F2"/>
    <w:rsid w:val="008A2578"/>
    <w:rsid w:val="008A2B7D"/>
    <w:rsid w:val="008A3731"/>
    <w:rsid w:val="008A4205"/>
    <w:rsid w:val="008A470C"/>
    <w:rsid w:val="008A47DC"/>
    <w:rsid w:val="008A4CF3"/>
    <w:rsid w:val="008A503D"/>
    <w:rsid w:val="008A6352"/>
    <w:rsid w:val="008A63EF"/>
    <w:rsid w:val="008A716B"/>
    <w:rsid w:val="008B032A"/>
    <w:rsid w:val="008B1A3D"/>
    <w:rsid w:val="008B1B64"/>
    <w:rsid w:val="008B32CF"/>
    <w:rsid w:val="008B3C3F"/>
    <w:rsid w:val="008B3F12"/>
    <w:rsid w:val="008B54C0"/>
    <w:rsid w:val="008B65AB"/>
    <w:rsid w:val="008B66B4"/>
    <w:rsid w:val="008B69E4"/>
    <w:rsid w:val="008B6BA2"/>
    <w:rsid w:val="008B7FC5"/>
    <w:rsid w:val="008C07F3"/>
    <w:rsid w:val="008C25C3"/>
    <w:rsid w:val="008C2612"/>
    <w:rsid w:val="008C278F"/>
    <w:rsid w:val="008C2A04"/>
    <w:rsid w:val="008C2FB3"/>
    <w:rsid w:val="008C3169"/>
    <w:rsid w:val="008C435E"/>
    <w:rsid w:val="008C4801"/>
    <w:rsid w:val="008C492D"/>
    <w:rsid w:val="008C4FA6"/>
    <w:rsid w:val="008C5DD6"/>
    <w:rsid w:val="008C6993"/>
    <w:rsid w:val="008C6DA9"/>
    <w:rsid w:val="008D0CDB"/>
    <w:rsid w:val="008D0D6A"/>
    <w:rsid w:val="008D0DE6"/>
    <w:rsid w:val="008D1552"/>
    <w:rsid w:val="008D155B"/>
    <w:rsid w:val="008D27AD"/>
    <w:rsid w:val="008D2A11"/>
    <w:rsid w:val="008D3001"/>
    <w:rsid w:val="008D446E"/>
    <w:rsid w:val="008D4A96"/>
    <w:rsid w:val="008D54E3"/>
    <w:rsid w:val="008D5D1D"/>
    <w:rsid w:val="008D69EB"/>
    <w:rsid w:val="008D7462"/>
    <w:rsid w:val="008D7B20"/>
    <w:rsid w:val="008E06D7"/>
    <w:rsid w:val="008E07A5"/>
    <w:rsid w:val="008E16B9"/>
    <w:rsid w:val="008E1CBB"/>
    <w:rsid w:val="008E211A"/>
    <w:rsid w:val="008E22AB"/>
    <w:rsid w:val="008E2705"/>
    <w:rsid w:val="008E3512"/>
    <w:rsid w:val="008E3792"/>
    <w:rsid w:val="008E431B"/>
    <w:rsid w:val="008E436E"/>
    <w:rsid w:val="008E55EF"/>
    <w:rsid w:val="008E5E30"/>
    <w:rsid w:val="008E6D95"/>
    <w:rsid w:val="008E7F88"/>
    <w:rsid w:val="008F028F"/>
    <w:rsid w:val="008F0388"/>
    <w:rsid w:val="008F0700"/>
    <w:rsid w:val="008F1CD4"/>
    <w:rsid w:val="008F2561"/>
    <w:rsid w:val="008F2811"/>
    <w:rsid w:val="008F2AC5"/>
    <w:rsid w:val="008F31A1"/>
    <w:rsid w:val="008F3686"/>
    <w:rsid w:val="008F3F23"/>
    <w:rsid w:val="008F5914"/>
    <w:rsid w:val="008F6A83"/>
    <w:rsid w:val="008F6EFA"/>
    <w:rsid w:val="008F7B1C"/>
    <w:rsid w:val="00901AC3"/>
    <w:rsid w:val="00901D40"/>
    <w:rsid w:val="00902430"/>
    <w:rsid w:val="00903AEE"/>
    <w:rsid w:val="00903BB2"/>
    <w:rsid w:val="00904306"/>
    <w:rsid w:val="009046A6"/>
    <w:rsid w:val="00905949"/>
    <w:rsid w:val="00905985"/>
    <w:rsid w:val="009059B6"/>
    <w:rsid w:val="009068A6"/>
    <w:rsid w:val="009075D4"/>
    <w:rsid w:val="00907764"/>
    <w:rsid w:val="00910B9C"/>
    <w:rsid w:val="00911283"/>
    <w:rsid w:val="00911AE6"/>
    <w:rsid w:val="00911BB6"/>
    <w:rsid w:val="0091428D"/>
    <w:rsid w:val="00914392"/>
    <w:rsid w:val="00914989"/>
    <w:rsid w:val="00914C04"/>
    <w:rsid w:val="00915152"/>
    <w:rsid w:val="009165D0"/>
    <w:rsid w:val="00917CBA"/>
    <w:rsid w:val="009202D4"/>
    <w:rsid w:val="00920D8C"/>
    <w:rsid w:val="009213F3"/>
    <w:rsid w:val="009234D8"/>
    <w:rsid w:val="00923582"/>
    <w:rsid w:val="009239D1"/>
    <w:rsid w:val="0092427C"/>
    <w:rsid w:val="00924FB7"/>
    <w:rsid w:val="0092558B"/>
    <w:rsid w:val="0092690E"/>
    <w:rsid w:val="0093014E"/>
    <w:rsid w:val="009311D4"/>
    <w:rsid w:val="00932C76"/>
    <w:rsid w:val="0093300A"/>
    <w:rsid w:val="009331B7"/>
    <w:rsid w:val="00933B3A"/>
    <w:rsid w:val="00933E94"/>
    <w:rsid w:val="009352B6"/>
    <w:rsid w:val="00935EB5"/>
    <w:rsid w:val="00936209"/>
    <w:rsid w:val="0093639D"/>
    <w:rsid w:val="00936B6A"/>
    <w:rsid w:val="00936E17"/>
    <w:rsid w:val="00937732"/>
    <w:rsid w:val="00937893"/>
    <w:rsid w:val="009379EF"/>
    <w:rsid w:val="009402CC"/>
    <w:rsid w:val="009407D5"/>
    <w:rsid w:val="00940941"/>
    <w:rsid w:val="00940C0A"/>
    <w:rsid w:val="00941255"/>
    <w:rsid w:val="00941CB2"/>
    <w:rsid w:val="009421BB"/>
    <w:rsid w:val="00943473"/>
    <w:rsid w:val="00943C09"/>
    <w:rsid w:val="00944F94"/>
    <w:rsid w:val="00946C48"/>
    <w:rsid w:val="00947870"/>
    <w:rsid w:val="009478C5"/>
    <w:rsid w:val="00950197"/>
    <w:rsid w:val="009509B2"/>
    <w:rsid w:val="00950F8C"/>
    <w:rsid w:val="00951084"/>
    <w:rsid w:val="00951EB5"/>
    <w:rsid w:val="0095246A"/>
    <w:rsid w:val="00952802"/>
    <w:rsid w:val="00953E19"/>
    <w:rsid w:val="00953E34"/>
    <w:rsid w:val="00954B69"/>
    <w:rsid w:val="00954FFE"/>
    <w:rsid w:val="00957755"/>
    <w:rsid w:val="00957D45"/>
    <w:rsid w:val="00957EF0"/>
    <w:rsid w:val="009600C0"/>
    <w:rsid w:val="00961069"/>
    <w:rsid w:val="0096185A"/>
    <w:rsid w:val="00961F02"/>
    <w:rsid w:val="00963E68"/>
    <w:rsid w:val="00964037"/>
    <w:rsid w:val="00964CB2"/>
    <w:rsid w:val="00965628"/>
    <w:rsid w:val="00967697"/>
    <w:rsid w:val="00967B0C"/>
    <w:rsid w:val="009701EC"/>
    <w:rsid w:val="009705C1"/>
    <w:rsid w:val="00973764"/>
    <w:rsid w:val="009737CA"/>
    <w:rsid w:val="009742DE"/>
    <w:rsid w:val="00975C64"/>
    <w:rsid w:val="00976313"/>
    <w:rsid w:val="00977958"/>
    <w:rsid w:val="00977D2C"/>
    <w:rsid w:val="009805F6"/>
    <w:rsid w:val="00981289"/>
    <w:rsid w:val="0098136C"/>
    <w:rsid w:val="00981AFF"/>
    <w:rsid w:val="00982AD0"/>
    <w:rsid w:val="0098609F"/>
    <w:rsid w:val="00987440"/>
    <w:rsid w:val="00990863"/>
    <w:rsid w:val="00991353"/>
    <w:rsid w:val="0099151F"/>
    <w:rsid w:val="00993FCC"/>
    <w:rsid w:val="009941DF"/>
    <w:rsid w:val="009943F1"/>
    <w:rsid w:val="0099486C"/>
    <w:rsid w:val="00994E6C"/>
    <w:rsid w:val="00995973"/>
    <w:rsid w:val="00995FD3"/>
    <w:rsid w:val="00996A01"/>
    <w:rsid w:val="00996E8E"/>
    <w:rsid w:val="00997BF1"/>
    <w:rsid w:val="00997F6C"/>
    <w:rsid w:val="009A120E"/>
    <w:rsid w:val="009A2120"/>
    <w:rsid w:val="009A22EF"/>
    <w:rsid w:val="009A3BDB"/>
    <w:rsid w:val="009A435D"/>
    <w:rsid w:val="009A484A"/>
    <w:rsid w:val="009A484E"/>
    <w:rsid w:val="009A4ED7"/>
    <w:rsid w:val="009A5B46"/>
    <w:rsid w:val="009A5C6C"/>
    <w:rsid w:val="009A6D4F"/>
    <w:rsid w:val="009A7CC6"/>
    <w:rsid w:val="009B0195"/>
    <w:rsid w:val="009B01CC"/>
    <w:rsid w:val="009B0C37"/>
    <w:rsid w:val="009B1F26"/>
    <w:rsid w:val="009B2203"/>
    <w:rsid w:val="009B2A5E"/>
    <w:rsid w:val="009B421F"/>
    <w:rsid w:val="009B4737"/>
    <w:rsid w:val="009B54CE"/>
    <w:rsid w:val="009B56D1"/>
    <w:rsid w:val="009B57B2"/>
    <w:rsid w:val="009B580A"/>
    <w:rsid w:val="009B65B0"/>
    <w:rsid w:val="009B68C6"/>
    <w:rsid w:val="009B6EBA"/>
    <w:rsid w:val="009B7062"/>
    <w:rsid w:val="009B760E"/>
    <w:rsid w:val="009B783F"/>
    <w:rsid w:val="009C01AD"/>
    <w:rsid w:val="009C10FE"/>
    <w:rsid w:val="009C1772"/>
    <w:rsid w:val="009C28B0"/>
    <w:rsid w:val="009C2D4B"/>
    <w:rsid w:val="009C50F9"/>
    <w:rsid w:val="009C5F23"/>
    <w:rsid w:val="009C675C"/>
    <w:rsid w:val="009C6B2C"/>
    <w:rsid w:val="009C77E0"/>
    <w:rsid w:val="009C7BAE"/>
    <w:rsid w:val="009C7F2F"/>
    <w:rsid w:val="009C7FE8"/>
    <w:rsid w:val="009D01CD"/>
    <w:rsid w:val="009D05A5"/>
    <w:rsid w:val="009D29A6"/>
    <w:rsid w:val="009D3689"/>
    <w:rsid w:val="009D4B0C"/>
    <w:rsid w:val="009D4D45"/>
    <w:rsid w:val="009D4FE4"/>
    <w:rsid w:val="009D5C23"/>
    <w:rsid w:val="009E1ACE"/>
    <w:rsid w:val="009E1DC6"/>
    <w:rsid w:val="009E2999"/>
    <w:rsid w:val="009E3714"/>
    <w:rsid w:val="009E38F5"/>
    <w:rsid w:val="009E57F3"/>
    <w:rsid w:val="009E672D"/>
    <w:rsid w:val="009E70A6"/>
    <w:rsid w:val="009E7497"/>
    <w:rsid w:val="009F0B6A"/>
    <w:rsid w:val="009F18E6"/>
    <w:rsid w:val="009F1F6B"/>
    <w:rsid w:val="009F21C9"/>
    <w:rsid w:val="009F2BFB"/>
    <w:rsid w:val="009F3703"/>
    <w:rsid w:val="009F3B31"/>
    <w:rsid w:val="009F4CA2"/>
    <w:rsid w:val="009F6748"/>
    <w:rsid w:val="009F6DD8"/>
    <w:rsid w:val="009F7B89"/>
    <w:rsid w:val="00A00223"/>
    <w:rsid w:val="00A0023A"/>
    <w:rsid w:val="00A00D45"/>
    <w:rsid w:val="00A01895"/>
    <w:rsid w:val="00A01BC1"/>
    <w:rsid w:val="00A02E37"/>
    <w:rsid w:val="00A031C3"/>
    <w:rsid w:val="00A03C1A"/>
    <w:rsid w:val="00A03F14"/>
    <w:rsid w:val="00A04070"/>
    <w:rsid w:val="00A040CA"/>
    <w:rsid w:val="00A04DF6"/>
    <w:rsid w:val="00A057D1"/>
    <w:rsid w:val="00A06BDF"/>
    <w:rsid w:val="00A0770B"/>
    <w:rsid w:val="00A07861"/>
    <w:rsid w:val="00A1032C"/>
    <w:rsid w:val="00A109F0"/>
    <w:rsid w:val="00A11044"/>
    <w:rsid w:val="00A11350"/>
    <w:rsid w:val="00A11AE4"/>
    <w:rsid w:val="00A12333"/>
    <w:rsid w:val="00A130BD"/>
    <w:rsid w:val="00A13866"/>
    <w:rsid w:val="00A13884"/>
    <w:rsid w:val="00A1525A"/>
    <w:rsid w:val="00A15CAC"/>
    <w:rsid w:val="00A15D09"/>
    <w:rsid w:val="00A16726"/>
    <w:rsid w:val="00A16A26"/>
    <w:rsid w:val="00A17380"/>
    <w:rsid w:val="00A21066"/>
    <w:rsid w:val="00A21588"/>
    <w:rsid w:val="00A21A7D"/>
    <w:rsid w:val="00A22953"/>
    <w:rsid w:val="00A23984"/>
    <w:rsid w:val="00A23D4A"/>
    <w:rsid w:val="00A25120"/>
    <w:rsid w:val="00A277F4"/>
    <w:rsid w:val="00A2796B"/>
    <w:rsid w:val="00A27A66"/>
    <w:rsid w:val="00A30797"/>
    <w:rsid w:val="00A308EF"/>
    <w:rsid w:val="00A30AF4"/>
    <w:rsid w:val="00A31014"/>
    <w:rsid w:val="00A31263"/>
    <w:rsid w:val="00A3136A"/>
    <w:rsid w:val="00A31848"/>
    <w:rsid w:val="00A31FDC"/>
    <w:rsid w:val="00A342A6"/>
    <w:rsid w:val="00A352DE"/>
    <w:rsid w:val="00A3720F"/>
    <w:rsid w:val="00A373C6"/>
    <w:rsid w:val="00A37A9E"/>
    <w:rsid w:val="00A40725"/>
    <w:rsid w:val="00A4244F"/>
    <w:rsid w:val="00A42CA2"/>
    <w:rsid w:val="00A47237"/>
    <w:rsid w:val="00A509F5"/>
    <w:rsid w:val="00A50A22"/>
    <w:rsid w:val="00A51096"/>
    <w:rsid w:val="00A51669"/>
    <w:rsid w:val="00A51B97"/>
    <w:rsid w:val="00A527CB"/>
    <w:rsid w:val="00A529C3"/>
    <w:rsid w:val="00A53450"/>
    <w:rsid w:val="00A53AD8"/>
    <w:rsid w:val="00A54A21"/>
    <w:rsid w:val="00A54D13"/>
    <w:rsid w:val="00A55251"/>
    <w:rsid w:val="00A55F46"/>
    <w:rsid w:val="00A57E1B"/>
    <w:rsid w:val="00A61463"/>
    <w:rsid w:val="00A61924"/>
    <w:rsid w:val="00A61EE1"/>
    <w:rsid w:val="00A626DC"/>
    <w:rsid w:val="00A62D7D"/>
    <w:rsid w:val="00A62F34"/>
    <w:rsid w:val="00A63B75"/>
    <w:rsid w:val="00A64483"/>
    <w:rsid w:val="00A6464D"/>
    <w:rsid w:val="00A64750"/>
    <w:rsid w:val="00A65389"/>
    <w:rsid w:val="00A654A6"/>
    <w:rsid w:val="00A66CAB"/>
    <w:rsid w:val="00A67641"/>
    <w:rsid w:val="00A7031C"/>
    <w:rsid w:val="00A70D3F"/>
    <w:rsid w:val="00A71A02"/>
    <w:rsid w:val="00A72991"/>
    <w:rsid w:val="00A72AAA"/>
    <w:rsid w:val="00A730F8"/>
    <w:rsid w:val="00A736D5"/>
    <w:rsid w:val="00A74251"/>
    <w:rsid w:val="00A7439C"/>
    <w:rsid w:val="00A7449A"/>
    <w:rsid w:val="00A74807"/>
    <w:rsid w:val="00A74843"/>
    <w:rsid w:val="00A75E8C"/>
    <w:rsid w:val="00A76526"/>
    <w:rsid w:val="00A76571"/>
    <w:rsid w:val="00A77522"/>
    <w:rsid w:val="00A779E5"/>
    <w:rsid w:val="00A77E33"/>
    <w:rsid w:val="00A8067C"/>
    <w:rsid w:val="00A807DF"/>
    <w:rsid w:val="00A80CB1"/>
    <w:rsid w:val="00A81965"/>
    <w:rsid w:val="00A81BD8"/>
    <w:rsid w:val="00A81EA5"/>
    <w:rsid w:val="00A81F87"/>
    <w:rsid w:val="00A83324"/>
    <w:rsid w:val="00A836DA"/>
    <w:rsid w:val="00A84915"/>
    <w:rsid w:val="00A85087"/>
    <w:rsid w:val="00A85FEC"/>
    <w:rsid w:val="00A8614E"/>
    <w:rsid w:val="00A86931"/>
    <w:rsid w:val="00A86F0A"/>
    <w:rsid w:val="00A87D42"/>
    <w:rsid w:val="00A90207"/>
    <w:rsid w:val="00A90FF1"/>
    <w:rsid w:val="00A91B1A"/>
    <w:rsid w:val="00A92A3C"/>
    <w:rsid w:val="00A93672"/>
    <w:rsid w:val="00A9390E"/>
    <w:rsid w:val="00A96A4C"/>
    <w:rsid w:val="00AA1DBA"/>
    <w:rsid w:val="00AA1E95"/>
    <w:rsid w:val="00AA24B2"/>
    <w:rsid w:val="00AA29B0"/>
    <w:rsid w:val="00AA4D46"/>
    <w:rsid w:val="00AA5728"/>
    <w:rsid w:val="00AA573D"/>
    <w:rsid w:val="00AA70F8"/>
    <w:rsid w:val="00AA7194"/>
    <w:rsid w:val="00AA765D"/>
    <w:rsid w:val="00AA775E"/>
    <w:rsid w:val="00AB05C4"/>
    <w:rsid w:val="00AB06EB"/>
    <w:rsid w:val="00AB0CFA"/>
    <w:rsid w:val="00AB1501"/>
    <w:rsid w:val="00AB1F8E"/>
    <w:rsid w:val="00AB33B7"/>
    <w:rsid w:val="00AB39FA"/>
    <w:rsid w:val="00AB40B4"/>
    <w:rsid w:val="00AB4A18"/>
    <w:rsid w:val="00AB644F"/>
    <w:rsid w:val="00AB6B01"/>
    <w:rsid w:val="00AB6C8B"/>
    <w:rsid w:val="00AB70CD"/>
    <w:rsid w:val="00AB7B64"/>
    <w:rsid w:val="00AC025E"/>
    <w:rsid w:val="00AC0C1F"/>
    <w:rsid w:val="00AC1101"/>
    <w:rsid w:val="00AC175F"/>
    <w:rsid w:val="00AC275B"/>
    <w:rsid w:val="00AC33BA"/>
    <w:rsid w:val="00AC3A78"/>
    <w:rsid w:val="00AC46C0"/>
    <w:rsid w:val="00AC5914"/>
    <w:rsid w:val="00AC647D"/>
    <w:rsid w:val="00AC775A"/>
    <w:rsid w:val="00AD02DE"/>
    <w:rsid w:val="00AD0BC5"/>
    <w:rsid w:val="00AD111D"/>
    <w:rsid w:val="00AD146D"/>
    <w:rsid w:val="00AD1E85"/>
    <w:rsid w:val="00AD1F41"/>
    <w:rsid w:val="00AD3349"/>
    <w:rsid w:val="00AD4224"/>
    <w:rsid w:val="00AD539E"/>
    <w:rsid w:val="00AD6396"/>
    <w:rsid w:val="00AD669F"/>
    <w:rsid w:val="00AD6B2B"/>
    <w:rsid w:val="00AD71DC"/>
    <w:rsid w:val="00AE0C05"/>
    <w:rsid w:val="00AE17F4"/>
    <w:rsid w:val="00AE1CCF"/>
    <w:rsid w:val="00AE1ED0"/>
    <w:rsid w:val="00AE240F"/>
    <w:rsid w:val="00AE3AA2"/>
    <w:rsid w:val="00AE40C8"/>
    <w:rsid w:val="00AE45C8"/>
    <w:rsid w:val="00AE4C15"/>
    <w:rsid w:val="00AE4C35"/>
    <w:rsid w:val="00AE56A3"/>
    <w:rsid w:val="00AE7967"/>
    <w:rsid w:val="00AE7BA5"/>
    <w:rsid w:val="00AF0125"/>
    <w:rsid w:val="00AF10EA"/>
    <w:rsid w:val="00AF12AE"/>
    <w:rsid w:val="00AF1D5D"/>
    <w:rsid w:val="00AF2BF4"/>
    <w:rsid w:val="00AF2CCB"/>
    <w:rsid w:val="00AF31D3"/>
    <w:rsid w:val="00AF420E"/>
    <w:rsid w:val="00AF5741"/>
    <w:rsid w:val="00AF5D3A"/>
    <w:rsid w:val="00AF7202"/>
    <w:rsid w:val="00AF7861"/>
    <w:rsid w:val="00AF7EF4"/>
    <w:rsid w:val="00AF7F99"/>
    <w:rsid w:val="00B00A2D"/>
    <w:rsid w:val="00B011A8"/>
    <w:rsid w:val="00B0243A"/>
    <w:rsid w:val="00B02B49"/>
    <w:rsid w:val="00B03259"/>
    <w:rsid w:val="00B04591"/>
    <w:rsid w:val="00B04939"/>
    <w:rsid w:val="00B05C59"/>
    <w:rsid w:val="00B07F3F"/>
    <w:rsid w:val="00B11612"/>
    <w:rsid w:val="00B116D9"/>
    <w:rsid w:val="00B1173C"/>
    <w:rsid w:val="00B13A29"/>
    <w:rsid w:val="00B13E5F"/>
    <w:rsid w:val="00B155C7"/>
    <w:rsid w:val="00B16355"/>
    <w:rsid w:val="00B164A6"/>
    <w:rsid w:val="00B166A1"/>
    <w:rsid w:val="00B17BEE"/>
    <w:rsid w:val="00B216C5"/>
    <w:rsid w:val="00B219C8"/>
    <w:rsid w:val="00B22D96"/>
    <w:rsid w:val="00B23193"/>
    <w:rsid w:val="00B23227"/>
    <w:rsid w:val="00B232FF"/>
    <w:rsid w:val="00B23BFD"/>
    <w:rsid w:val="00B24473"/>
    <w:rsid w:val="00B24B91"/>
    <w:rsid w:val="00B26215"/>
    <w:rsid w:val="00B26676"/>
    <w:rsid w:val="00B26BD9"/>
    <w:rsid w:val="00B26FA0"/>
    <w:rsid w:val="00B27C1B"/>
    <w:rsid w:val="00B27CCE"/>
    <w:rsid w:val="00B3096C"/>
    <w:rsid w:val="00B30D68"/>
    <w:rsid w:val="00B310D6"/>
    <w:rsid w:val="00B32018"/>
    <w:rsid w:val="00B35BAE"/>
    <w:rsid w:val="00B35F20"/>
    <w:rsid w:val="00B367E7"/>
    <w:rsid w:val="00B36923"/>
    <w:rsid w:val="00B36F94"/>
    <w:rsid w:val="00B37066"/>
    <w:rsid w:val="00B37105"/>
    <w:rsid w:val="00B40EBA"/>
    <w:rsid w:val="00B424B1"/>
    <w:rsid w:val="00B42F47"/>
    <w:rsid w:val="00B436E0"/>
    <w:rsid w:val="00B440D8"/>
    <w:rsid w:val="00B44549"/>
    <w:rsid w:val="00B44F62"/>
    <w:rsid w:val="00B45AC1"/>
    <w:rsid w:val="00B45F82"/>
    <w:rsid w:val="00B4740B"/>
    <w:rsid w:val="00B50AD5"/>
    <w:rsid w:val="00B50C67"/>
    <w:rsid w:val="00B51308"/>
    <w:rsid w:val="00B51A2D"/>
    <w:rsid w:val="00B51B60"/>
    <w:rsid w:val="00B51B9F"/>
    <w:rsid w:val="00B52857"/>
    <w:rsid w:val="00B5352E"/>
    <w:rsid w:val="00B5386E"/>
    <w:rsid w:val="00B55FBA"/>
    <w:rsid w:val="00B60358"/>
    <w:rsid w:val="00B6081B"/>
    <w:rsid w:val="00B60EA0"/>
    <w:rsid w:val="00B615B8"/>
    <w:rsid w:val="00B62C59"/>
    <w:rsid w:val="00B62CC7"/>
    <w:rsid w:val="00B6309A"/>
    <w:rsid w:val="00B64218"/>
    <w:rsid w:val="00B64C1F"/>
    <w:rsid w:val="00B64C2A"/>
    <w:rsid w:val="00B657D5"/>
    <w:rsid w:val="00B67EC8"/>
    <w:rsid w:val="00B706B2"/>
    <w:rsid w:val="00B7100A"/>
    <w:rsid w:val="00B7185C"/>
    <w:rsid w:val="00B71B26"/>
    <w:rsid w:val="00B72AE2"/>
    <w:rsid w:val="00B7317D"/>
    <w:rsid w:val="00B7331C"/>
    <w:rsid w:val="00B736F6"/>
    <w:rsid w:val="00B76490"/>
    <w:rsid w:val="00B77022"/>
    <w:rsid w:val="00B779F6"/>
    <w:rsid w:val="00B80919"/>
    <w:rsid w:val="00B81242"/>
    <w:rsid w:val="00B81B16"/>
    <w:rsid w:val="00B81B34"/>
    <w:rsid w:val="00B836A2"/>
    <w:rsid w:val="00B83F91"/>
    <w:rsid w:val="00B84644"/>
    <w:rsid w:val="00B90AC5"/>
    <w:rsid w:val="00B911E0"/>
    <w:rsid w:val="00B91867"/>
    <w:rsid w:val="00B91CF1"/>
    <w:rsid w:val="00B92D6C"/>
    <w:rsid w:val="00B95CAE"/>
    <w:rsid w:val="00B9630E"/>
    <w:rsid w:val="00B96FD8"/>
    <w:rsid w:val="00B97947"/>
    <w:rsid w:val="00B97AF9"/>
    <w:rsid w:val="00BA0B75"/>
    <w:rsid w:val="00BA0E44"/>
    <w:rsid w:val="00BA16BD"/>
    <w:rsid w:val="00BA171E"/>
    <w:rsid w:val="00BA1FEE"/>
    <w:rsid w:val="00BA5BB1"/>
    <w:rsid w:val="00BA7354"/>
    <w:rsid w:val="00BA792D"/>
    <w:rsid w:val="00BA7F07"/>
    <w:rsid w:val="00BB103C"/>
    <w:rsid w:val="00BB1BE2"/>
    <w:rsid w:val="00BB4148"/>
    <w:rsid w:val="00BB4CD4"/>
    <w:rsid w:val="00BB631B"/>
    <w:rsid w:val="00BB6714"/>
    <w:rsid w:val="00BB68E1"/>
    <w:rsid w:val="00BB6DFE"/>
    <w:rsid w:val="00BC060F"/>
    <w:rsid w:val="00BC0AB5"/>
    <w:rsid w:val="00BC30DB"/>
    <w:rsid w:val="00BC3EE2"/>
    <w:rsid w:val="00BC5263"/>
    <w:rsid w:val="00BC5C4B"/>
    <w:rsid w:val="00BC65AD"/>
    <w:rsid w:val="00BC690F"/>
    <w:rsid w:val="00BC69A2"/>
    <w:rsid w:val="00BC6F37"/>
    <w:rsid w:val="00BD0491"/>
    <w:rsid w:val="00BD1E96"/>
    <w:rsid w:val="00BD3FD5"/>
    <w:rsid w:val="00BD4312"/>
    <w:rsid w:val="00BD4EAA"/>
    <w:rsid w:val="00BD591F"/>
    <w:rsid w:val="00BD5B53"/>
    <w:rsid w:val="00BD5F0D"/>
    <w:rsid w:val="00BD65BB"/>
    <w:rsid w:val="00BD6882"/>
    <w:rsid w:val="00BD7C30"/>
    <w:rsid w:val="00BD7F54"/>
    <w:rsid w:val="00BE0673"/>
    <w:rsid w:val="00BE06CE"/>
    <w:rsid w:val="00BE09B3"/>
    <w:rsid w:val="00BE1730"/>
    <w:rsid w:val="00BE19CC"/>
    <w:rsid w:val="00BE30F2"/>
    <w:rsid w:val="00BE494B"/>
    <w:rsid w:val="00BE55FF"/>
    <w:rsid w:val="00BE62A2"/>
    <w:rsid w:val="00BE641A"/>
    <w:rsid w:val="00BE6842"/>
    <w:rsid w:val="00BE6EBD"/>
    <w:rsid w:val="00BE6ECE"/>
    <w:rsid w:val="00BE7E46"/>
    <w:rsid w:val="00BF04A9"/>
    <w:rsid w:val="00BF051A"/>
    <w:rsid w:val="00BF0B94"/>
    <w:rsid w:val="00BF15CB"/>
    <w:rsid w:val="00BF183E"/>
    <w:rsid w:val="00BF1E6F"/>
    <w:rsid w:val="00BF22FB"/>
    <w:rsid w:val="00BF2A2F"/>
    <w:rsid w:val="00BF2F76"/>
    <w:rsid w:val="00BF35C1"/>
    <w:rsid w:val="00BF4141"/>
    <w:rsid w:val="00BF4529"/>
    <w:rsid w:val="00BF4DDE"/>
    <w:rsid w:val="00BF546B"/>
    <w:rsid w:val="00BF71A1"/>
    <w:rsid w:val="00C00016"/>
    <w:rsid w:val="00C00A05"/>
    <w:rsid w:val="00C01489"/>
    <w:rsid w:val="00C01952"/>
    <w:rsid w:val="00C02B0A"/>
    <w:rsid w:val="00C03E66"/>
    <w:rsid w:val="00C04287"/>
    <w:rsid w:val="00C04C49"/>
    <w:rsid w:val="00C04D82"/>
    <w:rsid w:val="00C05B7A"/>
    <w:rsid w:val="00C06B74"/>
    <w:rsid w:val="00C07A0B"/>
    <w:rsid w:val="00C1091E"/>
    <w:rsid w:val="00C11828"/>
    <w:rsid w:val="00C12636"/>
    <w:rsid w:val="00C14BE0"/>
    <w:rsid w:val="00C16D5C"/>
    <w:rsid w:val="00C1714D"/>
    <w:rsid w:val="00C200E1"/>
    <w:rsid w:val="00C21004"/>
    <w:rsid w:val="00C21251"/>
    <w:rsid w:val="00C21784"/>
    <w:rsid w:val="00C21B8C"/>
    <w:rsid w:val="00C242A4"/>
    <w:rsid w:val="00C2482D"/>
    <w:rsid w:val="00C257BB"/>
    <w:rsid w:val="00C263F4"/>
    <w:rsid w:val="00C267FD"/>
    <w:rsid w:val="00C26DF4"/>
    <w:rsid w:val="00C30031"/>
    <w:rsid w:val="00C30225"/>
    <w:rsid w:val="00C307C3"/>
    <w:rsid w:val="00C31431"/>
    <w:rsid w:val="00C31AB1"/>
    <w:rsid w:val="00C32586"/>
    <w:rsid w:val="00C32707"/>
    <w:rsid w:val="00C328B3"/>
    <w:rsid w:val="00C32A12"/>
    <w:rsid w:val="00C32FDA"/>
    <w:rsid w:val="00C34EEA"/>
    <w:rsid w:val="00C35B4F"/>
    <w:rsid w:val="00C37524"/>
    <w:rsid w:val="00C37617"/>
    <w:rsid w:val="00C37CDC"/>
    <w:rsid w:val="00C402D0"/>
    <w:rsid w:val="00C40ADB"/>
    <w:rsid w:val="00C410D4"/>
    <w:rsid w:val="00C42225"/>
    <w:rsid w:val="00C424A9"/>
    <w:rsid w:val="00C43A78"/>
    <w:rsid w:val="00C44CC0"/>
    <w:rsid w:val="00C44E0D"/>
    <w:rsid w:val="00C44EE3"/>
    <w:rsid w:val="00C4590C"/>
    <w:rsid w:val="00C46761"/>
    <w:rsid w:val="00C46E13"/>
    <w:rsid w:val="00C474F9"/>
    <w:rsid w:val="00C47765"/>
    <w:rsid w:val="00C47DF6"/>
    <w:rsid w:val="00C47F56"/>
    <w:rsid w:val="00C5114F"/>
    <w:rsid w:val="00C52091"/>
    <w:rsid w:val="00C520C4"/>
    <w:rsid w:val="00C54533"/>
    <w:rsid w:val="00C565BC"/>
    <w:rsid w:val="00C56984"/>
    <w:rsid w:val="00C56B4E"/>
    <w:rsid w:val="00C56DA2"/>
    <w:rsid w:val="00C57276"/>
    <w:rsid w:val="00C5773F"/>
    <w:rsid w:val="00C61E12"/>
    <w:rsid w:val="00C62B2A"/>
    <w:rsid w:val="00C62B35"/>
    <w:rsid w:val="00C62D0F"/>
    <w:rsid w:val="00C66190"/>
    <w:rsid w:val="00C669E9"/>
    <w:rsid w:val="00C67DD0"/>
    <w:rsid w:val="00C70B6F"/>
    <w:rsid w:val="00C71295"/>
    <w:rsid w:val="00C72BE9"/>
    <w:rsid w:val="00C72F1E"/>
    <w:rsid w:val="00C74C1A"/>
    <w:rsid w:val="00C74D9A"/>
    <w:rsid w:val="00C74DD1"/>
    <w:rsid w:val="00C7516A"/>
    <w:rsid w:val="00C7523E"/>
    <w:rsid w:val="00C75D47"/>
    <w:rsid w:val="00C76334"/>
    <w:rsid w:val="00C769FC"/>
    <w:rsid w:val="00C77594"/>
    <w:rsid w:val="00C7759B"/>
    <w:rsid w:val="00C77A89"/>
    <w:rsid w:val="00C8180C"/>
    <w:rsid w:val="00C837A9"/>
    <w:rsid w:val="00C84635"/>
    <w:rsid w:val="00C8508E"/>
    <w:rsid w:val="00C8518A"/>
    <w:rsid w:val="00C85A70"/>
    <w:rsid w:val="00C863A9"/>
    <w:rsid w:val="00C867AD"/>
    <w:rsid w:val="00C911F8"/>
    <w:rsid w:val="00C91FA6"/>
    <w:rsid w:val="00C9266C"/>
    <w:rsid w:val="00C93682"/>
    <w:rsid w:val="00C93D52"/>
    <w:rsid w:val="00C93E5B"/>
    <w:rsid w:val="00C94045"/>
    <w:rsid w:val="00C94248"/>
    <w:rsid w:val="00C945F5"/>
    <w:rsid w:val="00C95FCA"/>
    <w:rsid w:val="00C96C7A"/>
    <w:rsid w:val="00C97021"/>
    <w:rsid w:val="00C97859"/>
    <w:rsid w:val="00CA1133"/>
    <w:rsid w:val="00CA1B66"/>
    <w:rsid w:val="00CA1FA8"/>
    <w:rsid w:val="00CA2C2E"/>
    <w:rsid w:val="00CA35D7"/>
    <w:rsid w:val="00CA3C02"/>
    <w:rsid w:val="00CA4359"/>
    <w:rsid w:val="00CA4CF8"/>
    <w:rsid w:val="00CA5C18"/>
    <w:rsid w:val="00CA5E07"/>
    <w:rsid w:val="00CA6E24"/>
    <w:rsid w:val="00CA7923"/>
    <w:rsid w:val="00CB1EC7"/>
    <w:rsid w:val="00CB2200"/>
    <w:rsid w:val="00CB26AA"/>
    <w:rsid w:val="00CB2F86"/>
    <w:rsid w:val="00CB306F"/>
    <w:rsid w:val="00CB3487"/>
    <w:rsid w:val="00CB56DE"/>
    <w:rsid w:val="00CB59D3"/>
    <w:rsid w:val="00CB5B9F"/>
    <w:rsid w:val="00CB6389"/>
    <w:rsid w:val="00CB67EC"/>
    <w:rsid w:val="00CC0F75"/>
    <w:rsid w:val="00CC1905"/>
    <w:rsid w:val="00CC23EF"/>
    <w:rsid w:val="00CC3C1E"/>
    <w:rsid w:val="00CC4A9D"/>
    <w:rsid w:val="00CC4F15"/>
    <w:rsid w:val="00CC61D7"/>
    <w:rsid w:val="00CC6471"/>
    <w:rsid w:val="00CC6EEE"/>
    <w:rsid w:val="00CD1262"/>
    <w:rsid w:val="00CD1B0E"/>
    <w:rsid w:val="00CD2335"/>
    <w:rsid w:val="00CD2357"/>
    <w:rsid w:val="00CD36A4"/>
    <w:rsid w:val="00CD407F"/>
    <w:rsid w:val="00CD4F73"/>
    <w:rsid w:val="00CD5068"/>
    <w:rsid w:val="00CD57DA"/>
    <w:rsid w:val="00CD5A20"/>
    <w:rsid w:val="00CD712C"/>
    <w:rsid w:val="00CE0214"/>
    <w:rsid w:val="00CE0F9D"/>
    <w:rsid w:val="00CE17AF"/>
    <w:rsid w:val="00CE1E66"/>
    <w:rsid w:val="00CE2D60"/>
    <w:rsid w:val="00CE3871"/>
    <w:rsid w:val="00CE43E9"/>
    <w:rsid w:val="00CE488B"/>
    <w:rsid w:val="00CE51EE"/>
    <w:rsid w:val="00CE584D"/>
    <w:rsid w:val="00CE58CC"/>
    <w:rsid w:val="00CE5BA6"/>
    <w:rsid w:val="00CE5CAF"/>
    <w:rsid w:val="00CE625A"/>
    <w:rsid w:val="00CE6667"/>
    <w:rsid w:val="00CE7DB9"/>
    <w:rsid w:val="00CF0882"/>
    <w:rsid w:val="00CF1B80"/>
    <w:rsid w:val="00CF1E29"/>
    <w:rsid w:val="00CF213C"/>
    <w:rsid w:val="00CF3482"/>
    <w:rsid w:val="00CF4627"/>
    <w:rsid w:val="00CF4D09"/>
    <w:rsid w:val="00CF5E51"/>
    <w:rsid w:val="00CF6BFB"/>
    <w:rsid w:val="00CF6F2A"/>
    <w:rsid w:val="00CF7F0D"/>
    <w:rsid w:val="00CF7F57"/>
    <w:rsid w:val="00D01015"/>
    <w:rsid w:val="00D02A11"/>
    <w:rsid w:val="00D030ED"/>
    <w:rsid w:val="00D035FD"/>
    <w:rsid w:val="00D044D4"/>
    <w:rsid w:val="00D054DA"/>
    <w:rsid w:val="00D05598"/>
    <w:rsid w:val="00D05B7B"/>
    <w:rsid w:val="00D06DA2"/>
    <w:rsid w:val="00D10424"/>
    <w:rsid w:val="00D10C88"/>
    <w:rsid w:val="00D11A49"/>
    <w:rsid w:val="00D11EEB"/>
    <w:rsid w:val="00D1399A"/>
    <w:rsid w:val="00D13C84"/>
    <w:rsid w:val="00D13D3F"/>
    <w:rsid w:val="00D13D9C"/>
    <w:rsid w:val="00D13EDA"/>
    <w:rsid w:val="00D143B4"/>
    <w:rsid w:val="00D14BE5"/>
    <w:rsid w:val="00D15960"/>
    <w:rsid w:val="00D15B95"/>
    <w:rsid w:val="00D15F44"/>
    <w:rsid w:val="00D1696C"/>
    <w:rsid w:val="00D172AF"/>
    <w:rsid w:val="00D17DF7"/>
    <w:rsid w:val="00D17F67"/>
    <w:rsid w:val="00D200D4"/>
    <w:rsid w:val="00D20796"/>
    <w:rsid w:val="00D208AD"/>
    <w:rsid w:val="00D221A1"/>
    <w:rsid w:val="00D228E9"/>
    <w:rsid w:val="00D23527"/>
    <w:rsid w:val="00D23D86"/>
    <w:rsid w:val="00D24023"/>
    <w:rsid w:val="00D24400"/>
    <w:rsid w:val="00D24403"/>
    <w:rsid w:val="00D244B1"/>
    <w:rsid w:val="00D25411"/>
    <w:rsid w:val="00D25832"/>
    <w:rsid w:val="00D25A07"/>
    <w:rsid w:val="00D25C84"/>
    <w:rsid w:val="00D25E6F"/>
    <w:rsid w:val="00D261CA"/>
    <w:rsid w:val="00D263AE"/>
    <w:rsid w:val="00D26C45"/>
    <w:rsid w:val="00D306BF"/>
    <w:rsid w:val="00D31C62"/>
    <w:rsid w:val="00D32873"/>
    <w:rsid w:val="00D32C3C"/>
    <w:rsid w:val="00D331AC"/>
    <w:rsid w:val="00D334E7"/>
    <w:rsid w:val="00D34657"/>
    <w:rsid w:val="00D34DB2"/>
    <w:rsid w:val="00D3532A"/>
    <w:rsid w:val="00D37172"/>
    <w:rsid w:val="00D40653"/>
    <w:rsid w:val="00D408CD"/>
    <w:rsid w:val="00D40A20"/>
    <w:rsid w:val="00D40B79"/>
    <w:rsid w:val="00D41D21"/>
    <w:rsid w:val="00D4201B"/>
    <w:rsid w:val="00D42A82"/>
    <w:rsid w:val="00D4385F"/>
    <w:rsid w:val="00D440A7"/>
    <w:rsid w:val="00D44463"/>
    <w:rsid w:val="00D45732"/>
    <w:rsid w:val="00D4662B"/>
    <w:rsid w:val="00D46697"/>
    <w:rsid w:val="00D46879"/>
    <w:rsid w:val="00D46B7F"/>
    <w:rsid w:val="00D4768E"/>
    <w:rsid w:val="00D47E7B"/>
    <w:rsid w:val="00D504D5"/>
    <w:rsid w:val="00D50BC9"/>
    <w:rsid w:val="00D50F79"/>
    <w:rsid w:val="00D51046"/>
    <w:rsid w:val="00D52583"/>
    <w:rsid w:val="00D54F06"/>
    <w:rsid w:val="00D56239"/>
    <w:rsid w:val="00D5727F"/>
    <w:rsid w:val="00D573D9"/>
    <w:rsid w:val="00D63660"/>
    <w:rsid w:val="00D63881"/>
    <w:rsid w:val="00D63F54"/>
    <w:rsid w:val="00D6465B"/>
    <w:rsid w:val="00D6587A"/>
    <w:rsid w:val="00D65A4E"/>
    <w:rsid w:val="00D66F40"/>
    <w:rsid w:val="00D671D4"/>
    <w:rsid w:val="00D67F33"/>
    <w:rsid w:val="00D70FE3"/>
    <w:rsid w:val="00D71A1B"/>
    <w:rsid w:val="00D7215C"/>
    <w:rsid w:val="00D72586"/>
    <w:rsid w:val="00D72793"/>
    <w:rsid w:val="00D74F2A"/>
    <w:rsid w:val="00D74FE3"/>
    <w:rsid w:val="00D764BB"/>
    <w:rsid w:val="00D76D3A"/>
    <w:rsid w:val="00D76F74"/>
    <w:rsid w:val="00D774BA"/>
    <w:rsid w:val="00D7761A"/>
    <w:rsid w:val="00D77DFA"/>
    <w:rsid w:val="00D806A7"/>
    <w:rsid w:val="00D816AF"/>
    <w:rsid w:val="00D818B9"/>
    <w:rsid w:val="00D8240A"/>
    <w:rsid w:val="00D82DCA"/>
    <w:rsid w:val="00D82DDA"/>
    <w:rsid w:val="00D82FF2"/>
    <w:rsid w:val="00D83451"/>
    <w:rsid w:val="00D83D0C"/>
    <w:rsid w:val="00D8462A"/>
    <w:rsid w:val="00D84A1E"/>
    <w:rsid w:val="00D8505C"/>
    <w:rsid w:val="00D853AE"/>
    <w:rsid w:val="00D862C6"/>
    <w:rsid w:val="00D90B17"/>
    <w:rsid w:val="00D90E96"/>
    <w:rsid w:val="00D90EB7"/>
    <w:rsid w:val="00D918B3"/>
    <w:rsid w:val="00D93EBE"/>
    <w:rsid w:val="00D944E7"/>
    <w:rsid w:val="00D95BDA"/>
    <w:rsid w:val="00D96516"/>
    <w:rsid w:val="00D97020"/>
    <w:rsid w:val="00D972E5"/>
    <w:rsid w:val="00DA0BA4"/>
    <w:rsid w:val="00DA240D"/>
    <w:rsid w:val="00DA2717"/>
    <w:rsid w:val="00DA486F"/>
    <w:rsid w:val="00DA6505"/>
    <w:rsid w:val="00DA6649"/>
    <w:rsid w:val="00DA6982"/>
    <w:rsid w:val="00DA70E5"/>
    <w:rsid w:val="00DA76B8"/>
    <w:rsid w:val="00DA76DA"/>
    <w:rsid w:val="00DA7A85"/>
    <w:rsid w:val="00DA7CF7"/>
    <w:rsid w:val="00DB0248"/>
    <w:rsid w:val="00DB08AF"/>
    <w:rsid w:val="00DB0CA0"/>
    <w:rsid w:val="00DB4ACC"/>
    <w:rsid w:val="00DB4C50"/>
    <w:rsid w:val="00DB52D5"/>
    <w:rsid w:val="00DB6B20"/>
    <w:rsid w:val="00DB72B5"/>
    <w:rsid w:val="00DB74E0"/>
    <w:rsid w:val="00DC104C"/>
    <w:rsid w:val="00DC169A"/>
    <w:rsid w:val="00DC17AA"/>
    <w:rsid w:val="00DC1E02"/>
    <w:rsid w:val="00DC31A2"/>
    <w:rsid w:val="00DC328E"/>
    <w:rsid w:val="00DC3731"/>
    <w:rsid w:val="00DC3EC6"/>
    <w:rsid w:val="00DC4B54"/>
    <w:rsid w:val="00DC5132"/>
    <w:rsid w:val="00DC6816"/>
    <w:rsid w:val="00DC7032"/>
    <w:rsid w:val="00DC730B"/>
    <w:rsid w:val="00DC733C"/>
    <w:rsid w:val="00DC74F9"/>
    <w:rsid w:val="00DD13B8"/>
    <w:rsid w:val="00DD2837"/>
    <w:rsid w:val="00DD28B1"/>
    <w:rsid w:val="00DD2E19"/>
    <w:rsid w:val="00DD3403"/>
    <w:rsid w:val="00DD43AB"/>
    <w:rsid w:val="00DD4B9F"/>
    <w:rsid w:val="00DE00D0"/>
    <w:rsid w:val="00DE0C4B"/>
    <w:rsid w:val="00DE242B"/>
    <w:rsid w:val="00DE2490"/>
    <w:rsid w:val="00DE2F6F"/>
    <w:rsid w:val="00DE427B"/>
    <w:rsid w:val="00DE45CE"/>
    <w:rsid w:val="00DE4A89"/>
    <w:rsid w:val="00DE4CB7"/>
    <w:rsid w:val="00DE5CB9"/>
    <w:rsid w:val="00DE5D5F"/>
    <w:rsid w:val="00DE6310"/>
    <w:rsid w:val="00DF0FDD"/>
    <w:rsid w:val="00DF19DE"/>
    <w:rsid w:val="00DF2645"/>
    <w:rsid w:val="00DF2A02"/>
    <w:rsid w:val="00DF36AB"/>
    <w:rsid w:val="00DF3A56"/>
    <w:rsid w:val="00DF438B"/>
    <w:rsid w:val="00DF45AC"/>
    <w:rsid w:val="00DF618F"/>
    <w:rsid w:val="00DF65C7"/>
    <w:rsid w:val="00DF6D49"/>
    <w:rsid w:val="00DF76C3"/>
    <w:rsid w:val="00DF78FA"/>
    <w:rsid w:val="00DF7E6A"/>
    <w:rsid w:val="00E00D64"/>
    <w:rsid w:val="00E01885"/>
    <w:rsid w:val="00E01A78"/>
    <w:rsid w:val="00E01FD5"/>
    <w:rsid w:val="00E032BD"/>
    <w:rsid w:val="00E04C4E"/>
    <w:rsid w:val="00E04E9F"/>
    <w:rsid w:val="00E05181"/>
    <w:rsid w:val="00E056D3"/>
    <w:rsid w:val="00E0593C"/>
    <w:rsid w:val="00E060EB"/>
    <w:rsid w:val="00E063D2"/>
    <w:rsid w:val="00E06C73"/>
    <w:rsid w:val="00E07585"/>
    <w:rsid w:val="00E07C57"/>
    <w:rsid w:val="00E11F04"/>
    <w:rsid w:val="00E1221B"/>
    <w:rsid w:val="00E1230B"/>
    <w:rsid w:val="00E12674"/>
    <w:rsid w:val="00E127AA"/>
    <w:rsid w:val="00E12812"/>
    <w:rsid w:val="00E12F06"/>
    <w:rsid w:val="00E137EB"/>
    <w:rsid w:val="00E161E7"/>
    <w:rsid w:val="00E162EF"/>
    <w:rsid w:val="00E163EF"/>
    <w:rsid w:val="00E164B4"/>
    <w:rsid w:val="00E20615"/>
    <w:rsid w:val="00E20B76"/>
    <w:rsid w:val="00E212E4"/>
    <w:rsid w:val="00E21AD3"/>
    <w:rsid w:val="00E21BA6"/>
    <w:rsid w:val="00E22F70"/>
    <w:rsid w:val="00E236BB"/>
    <w:rsid w:val="00E2375E"/>
    <w:rsid w:val="00E23E1A"/>
    <w:rsid w:val="00E24250"/>
    <w:rsid w:val="00E24DE1"/>
    <w:rsid w:val="00E24F02"/>
    <w:rsid w:val="00E257CB"/>
    <w:rsid w:val="00E25958"/>
    <w:rsid w:val="00E267AC"/>
    <w:rsid w:val="00E26AAF"/>
    <w:rsid w:val="00E278D8"/>
    <w:rsid w:val="00E30449"/>
    <w:rsid w:val="00E310B3"/>
    <w:rsid w:val="00E315AA"/>
    <w:rsid w:val="00E326B1"/>
    <w:rsid w:val="00E32D11"/>
    <w:rsid w:val="00E3377E"/>
    <w:rsid w:val="00E34FF2"/>
    <w:rsid w:val="00E35412"/>
    <w:rsid w:val="00E35B91"/>
    <w:rsid w:val="00E363D5"/>
    <w:rsid w:val="00E374A6"/>
    <w:rsid w:val="00E3797D"/>
    <w:rsid w:val="00E4074A"/>
    <w:rsid w:val="00E40C3F"/>
    <w:rsid w:val="00E413E7"/>
    <w:rsid w:val="00E42330"/>
    <w:rsid w:val="00E4402F"/>
    <w:rsid w:val="00E44865"/>
    <w:rsid w:val="00E457AB"/>
    <w:rsid w:val="00E4591D"/>
    <w:rsid w:val="00E45B7B"/>
    <w:rsid w:val="00E46189"/>
    <w:rsid w:val="00E4624E"/>
    <w:rsid w:val="00E46A40"/>
    <w:rsid w:val="00E472BE"/>
    <w:rsid w:val="00E4765B"/>
    <w:rsid w:val="00E476AB"/>
    <w:rsid w:val="00E50B9F"/>
    <w:rsid w:val="00E51838"/>
    <w:rsid w:val="00E5199E"/>
    <w:rsid w:val="00E52E57"/>
    <w:rsid w:val="00E5482D"/>
    <w:rsid w:val="00E5489C"/>
    <w:rsid w:val="00E55739"/>
    <w:rsid w:val="00E55B81"/>
    <w:rsid w:val="00E55DEB"/>
    <w:rsid w:val="00E56AA3"/>
    <w:rsid w:val="00E57243"/>
    <w:rsid w:val="00E578AF"/>
    <w:rsid w:val="00E57BF3"/>
    <w:rsid w:val="00E602A4"/>
    <w:rsid w:val="00E60FB5"/>
    <w:rsid w:val="00E618DB"/>
    <w:rsid w:val="00E61B50"/>
    <w:rsid w:val="00E61C50"/>
    <w:rsid w:val="00E62113"/>
    <w:rsid w:val="00E626EC"/>
    <w:rsid w:val="00E62B2E"/>
    <w:rsid w:val="00E62D85"/>
    <w:rsid w:val="00E6425F"/>
    <w:rsid w:val="00E64AA9"/>
    <w:rsid w:val="00E65C5A"/>
    <w:rsid w:val="00E66032"/>
    <w:rsid w:val="00E6649A"/>
    <w:rsid w:val="00E66CC0"/>
    <w:rsid w:val="00E67C0D"/>
    <w:rsid w:val="00E67C27"/>
    <w:rsid w:val="00E67D18"/>
    <w:rsid w:val="00E70554"/>
    <w:rsid w:val="00E70EBF"/>
    <w:rsid w:val="00E7120B"/>
    <w:rsid w:val="00E712FB"/>
    <w:rsid w:val="00E71F5D"/>
    <w:rsid w:val="00E722F1"/>
    <w:rsid w:val="00E72590"/>
    <w:rsid w:val="00E729A9"/>
    <w:rsid w:val="00E73993"/>
    <w:rsid w:val="00E73CDE"/>
    <w:rsid w:val="00E74291"/>
    <w:rsid w:val="00E7597B"/>
    <w:rsid w:val="00E815CC"/>
    <w:rsid w:val="00E8244E"/>
    <w:rsid w:val="00E82701"/>
    <w:rsid w:val="00E8426F"/>
    <w:rsid w:val="00E846ED"/>
    <w:rsid w:val="00E84F58"/>
    <w:rsid w:val="00E8586C"/>
    <w:rsid w:val="00E90B51"/>
    <w:rsid w:val="00E91211"/>
    <w:rsid w:val="00E9282D"/>
    <w:rsid w:val="00E92BC9"/>
    <w:rsid w:val="00E96ACD"/>
    <w:rsid w:val="00E96E51"/>
    <w:rsid w:val="00E97662"/>
    <w:rsid w:val="00E97BDA"/>
    <w:rsid w:val="00E97E03"/>
    <w:rsid w:val="00EA1FA2"/>
    <w:rsid w:val="00EA37F3"/>
    <w:rsid w:val="00EA4E07"/>
    <w:rsid w:val="00EA54B1"/>
    <w:rsid w:val="00EA5B96"/>
    <w:rsid w:val="00EB0AED"/>
    <w:rsid w:val="00EB0BD2"/>
    <w:rsid w:val="00EB1BF5"/>
    <w:rsid w:val="00EB22B1"/>
    <w:rsid w:val="00EB3C59"/>
    <w:rsid w:val="00EB4743"/>
    <w:rsid w:val="00EB4A09"/>
    <w:rsid w:val="00EB4BD9"/>
    <w:rsid w:val="00EB4F6F"/>
    <w:rsid w:val="00EB5252"/>
    <w:rsid w:val="00EB569D"/>
    <w:rsid w:val="00EB58C0"/>
    <w:rsid w:val="00EB59C7"/>
    <w:rsid w:val="00EB611D"/>
    <w:rsid w:val="00EB6135"/>
    <w:rsid w:val="00EB652F"/>
    <w:rsid w:val="00EB7299"/>
    <w:rsid w:val="00EB7302"/>
    <w:rsid w:val="00EB7A25"/>
    <w:rsid w:val="00EC0161"/>
    <w:rsid w:val="00EC03C4"/>
    <w:rsid w:val="00EC0AAB"/>
    <w:rsid w:val="00EC1381"/>
    <w:rsid w:val="00EC15D4"/>
    <w:rsid w:val="00EC31AB"/>
    <w:rsid w:val="00EC4540"/>
    <w:rsid w:val="00EC58DE"/>
    <w:rsid w:val="00EC5B54"/>
    <w:rsid w:val="00EC6AEC"/>
    <w:rsid w:val="00EC6E22"/>
    <w:rsid w:val="00EC778E"/>
    <w:rsid w:val="00EC77E7"/>
    <w:rsid w:val="00ED0732"/>
    <w:rsid w:val="00ED11D3"/>
    <w:rsid w:val="00ED1A8C"/>
    <w:rsid w:val="00ED2ECF"/>
    <w:rsid w:val="00ED31A1"/>
    <w:rsid w:val="00ED33D7"/>
    <w:rsid w:val="00ED4A44"/>
    <w:rsid w:val="00ED6621"/>
    <w:rsid w:val="00ED6B19"/>
    <w:rsid w:val="00ED7016"/>
    <w:rsid w:val="00ED7AC4"/>
    <w:rsid w:val="00EE0131"/>
    <w:rsid w:val="00EE1691"/>
    <w:rsid w:val="00EE1FC4"/>
    <w:rsid w:val="00EE2763"/>
    <w:rsid w:val="00EE278F"/>
    <w:rsid w:val="00EE2902"/>
    <w:rsid w:val="00EE3997"/>
    <w:rsid w:val="00EE42FE"/>
    <w:rsid w:val="00EE4B9A"/>
    <w:rsid w:val="00EE5012"/>
    <w:rsid w:val="00EE5BC2"/>
    <w:rsid w:val="00EE611A"/>
    <w:rsid w:val="00EE63C6"/>
    <w:rsid w:val="00EE762D"/>
    <w:rsid w:val="00EF02CE"/>
    <w:rsid w:val="00EF196C"/>
    <w:rsid w:val="00EF1CB3"/>
    <w:rsid w:val="00EF3AF6"/>
    <w:rsid w:val="00EF3FA3"/>
    <w:rsid w:val="00EF54F0"/>
    <w:rsid w:val="00EF59E4"/>
    <w:rsid w:val="00EF5A70"/>
    <w:rsid w:val="00EF6888"/>
    <w:rsid w:val="00EF7DB7"/>
    <w:rsid w:val="00F02B40"/>
    <w:rsid w:val="00F031AF"/>
    <w:rsid w:val="00F04591"/>
    <w:rsid w:val="00F04AAD"/>
    <w:rsid w:val="00F06947"/>
    <w:rsid w:val="00F06F0E"/>
    <w:rsid w:val="00F073F1"/>
    <w:rsid w:val="00F0743B"/>
    <w:rsid w:val="00F078A9"/>
    <w:rsid w:val="00F10D49"/>
    <w:rsid w:val="00F12036"/>
    <w:rsid w:val="00F132D5"/>
    <w:rsid w:val="00F14007"/>
    <w:rsid w:val="00F14116"/>
    <w:rsid w:val="00F14D4D"/>
    <w:rsid w:val="00F15ACA"/>
    <w:rsid w:val="00F1766B"/>
    <w:rsid w:val="00F17878"/>
    <w:rsid w:val="00F17A84"/>
    <w:rsid w:val="00F20460"/>
    <w:rsid w:val="00F215E0"/>
    <w:rsid w:val="00F21732"/>
    <w:rsid w:val="00F21C44"/>
    <w:rsid w:val="00F225F9"/>
    <w:rsid w:val="00F23034"/>
    <w:rsid w:val="00F23234"/>
    <w:rsid w:val="00F2366A"/>
    <w:rsid w:val="00F23D23"/>
    <w:rsid w:val="00F24087"/>
    <w:rsid w:val="00F2413B"/>
    <w:rsid w:val="00F24526"/>
    <w:rsid w:val="00F25E5D"/>
    <w:rsid w:val="00F264EE"/>
    <w:rsid w:val="00F27C3B"/>
    <w:rsid w:val="00F30378"/>
    <w:rsid w:val="00F306E9"/>
    <w:rsid w:val="00F32BCD"/>
    <w:rsid w:val="00F32EED"/>
    <w:rsid w:val="00F333EB"/>
    <w:rsid w:val="00F33904"/>
    <w:rsid w:val="00F33F9F"/>
    <w:rsid w:val="00F34160"/>
    <w:rsid w:val="00F3622A"/>
    <w:rsid w:val="00F3624B"/>
    <w:rsid w:val="00F36D45"/>
    <w:rsid w:val="00F36D6D"/>
    <w:rsid w:val="00F379A1"/>
    <w:rsid w:val="00F40264"/>
    <w:rsid w:val="00F44350"/>
    <w:rsid w:val="00F4454B"/>
    <w:rsid w:val="00F450CE"/>
    <w:rsid w:val="00F457FC"/>
    <w:rsid w:val="00F458AC"/>
    <w:rsid w:val="00F45B32"/>
    <w:rsid w:val="00F45DE0"/>
    <w:rsid w:val="00F463CF"/>
    <w:rsid w:val="00F46D89"/>
    <w:rsid w:val="00F46FEF"/>
    <w:rsid w:val="00F4760F"/>
    <w:rsid w:val="00F505B8"/>
    <w:rsid w:val="00F507B4"/>
    <w:rsid w:val="00F50969"/>
    <w:rsid w:val="00F50A0C"/>
    <w:rsid w:val="00F50D22"/>
    <w:rsid w:val="00F51F3A"/>
    <w:rsid w:val="00F52D72"/>
    <w:rsid w:val="00F535F2"/>
    <w:rsid w:val="00F53A1C"/>
    <w:rsid w:val="00F53E22"/>
    <w:rsid w:val="00F54052"/>
    <w:rsid w:val="00F5434C"/>
    <w:rsid w:val="00F54392"/>
    <w:rsid w:val="00F54E6A"/>
    <w:rsid w:val="00F557A2"/>
    <w:rsid w:val="00F562B9"/>
    <w:rsid w:val="00F57104"/>
    <w:rsid w:val="00F5763A"/>
    <w:rsid w:val="00F577B3"/>
    <w:rsid w:val="00F618A3"/>
    <w:rsid w:val="00F61AB1"/>
    <w:rsid w:val="00F61EC6"/>
    <w:rsid w:val="00F63412"/>
    <w:rsid w:val="00F64ECF"/>
    <w:rsid w:val="00F657DB"/>
    <w:rsid w:val="00F66670"/>
    <w:rsid w:val="00F67BC0"/>
    <w:rsid w:val="00F67CED"/>
    <w:rsid w:val="00F70E8E"/>
    <w:rsid w:val="00F711AC"/>
    <w:rsid w:val="00F712B0"/>
    <w:rsid w:val="00F72FB7"/>
    <w:rsid w:val="00F741AC"/>
    <w:rsid w:val="00F74440"/>
    <w:rsid w:val="00F744DA"/>
    <w:rsid w:val="00F75BB4"/>
    <w:rsid w:val="00F771F2"/>
    <w:rsid w:val="00F772E0"/>
    <w:rsid w:val="00F80BAF"/>
    <w:rsid w:val="00F80FAE"/>
    <w:rsid w:val="00F8389E"/>
    <w:rsid w:val="00F83AA4"/>
    <w:rsid w:val="00F848FB"/>
    <w:rsid w:val="00F849E7"/>
    <w:rsid w:val="00F862EA"/>
    <w:rsid w:val="00F87B1C"/>
    <w:rsid w:val="00F92AF2"/>
    <w:rsid w:val="00F93212"/>
    <w:rsid w:val="00F93761"/>
    <w:rsid w:val="00F96179"/>
    <w:rsid w:val="00F9717A"/>
    <w:rsid w:val="00F97957"/>
    <w:rsid w:val="00FA019C"/>
    <w:rsid w:val="00FA0C18"/>
    <w:rsid w:val="00FA2537"/>
    <w:rsid w:val="00FA2F3D"/>
    <w:rsid w:val="00FA506E"/>
    <w:rsid w:val="00FA54A9"/>
    <w:rsid w:val="00FA6B4E"/>
    <w:rsid w:val="00FA6F0D"/>
    <w:rsid w:val="00FA7ACA"/>
    <w:rsid w:val="00FB08B5"/>
    <w:rsid w:val="00FB253B"/>
    <w:rsid w:val="00FB26F8"/>
    <w:rsid w:val="00FB2900"/>
    <w:rsid w:val="00FB2C6A"/>
    <w:rsid w:val="00FB3345"/>
    <w:rsid w:val="00FB3ADB"/>
    <w:rsid w:val="00FB47B5"/>
    <w:rsid w:val="00FB565B"/>
    <w:rsid w:val="00FB58B1"/>
    <w:rsid w:val="00FB58BB"/>
    <w:rsid w:val="00FB5B96"/>
    <w:rsid w:val="00FC0EB5"/>
    <w:rsid w:val="00FC13D6"/>
    <w:rsid w:val="00FC1C18"/>
    <w:rsid w:val="00FC2F88"/>
    <w:rsid w:val="00FC3037"/>
    <w:rsid w:val="00FC318F"/>
    <w:rsid w:val="00FC46F0"/>
    <w:rsid w:val="00FC4EBA"/>
    <w:rsid w:val="00FC5493"/>
    <w:rsid w:val="00FC551F"/>
    <w:rsid w:val="00FC645A"/>
    <w:rsid w:val="00FC7B0C"/>
    <w:rsid w:val="00FC7C59"/>
    <w:rsid w:val="00FD0B1A"/>
    <w:rsid w:val="00FD19AA"/>
    <w:rsid w:val="00FD2FB8"/>
    <w:rsid w:val="00FD30DE"/>
    <w:rsid w:val="00FD3388"/>
    <w:rsid w:val="00FD4EED"/>
    <w:rsid w:val="00FD631B"/>
    <w:rsid w:val="00FD65E2"/>
    <w:rsid w:val="00FE019E"/>
    <w:rsid w:val="00FE04A6"/>
    <w:rsid w:val="00FE16E3"/>
    <w:rsid w:val="00FE19AB"/>
    <w:rsid w:val="00FE1BEA"/>
    <w:rsid w:val="00FE1EBB"/>
    <w:rsid w:val="00FE538D"/>
    <w:rsid w:val="00FE5FF3"/>
    <w:rsid w:val="00FE636D"/>
    <w:rsid w:val="00FE6B75"/>
    <w:rsid w:val="00FE7464"/>
    <w:rsid w:val="00FE785E"/>
    <w:rsid w:val="00FF0109"/>
    <w:rsid w:val="00FF073A"/>
    <w:rsid w:val="00FF1041"/>
    <w:rsid w:val="00FF1CF1"/>
    <w:rsid w:val="00FF25C6"/>
    <w:rsid w:val="00FF2DB5"/>
    <w:rsid w:val="00FF474F"/>
    <w:rsid w:val="00FF4D35"/>
    <w:rsid w:val="00FF51C5"/>
    <w:rsid w:val="00FF56EA"/>
    <w:rsid w:val="00FF62C8"/>
    <w:rsid w:val="00FF6B2F"/>
    <w:rsid w:val="00FF766D"/>
    <w:rsid w:val="00FF79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3CCD8DF"/>
  <w15:docId w15:val="{7108820C-DDF1-4619-9032-B9D69B03E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Theme="minorHAnsi" w:hAnsi="David" w:cs="David"/>
        <w:sz w:val="24"/>
        <w:szCs w:val="24"/>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97B"/>
    <w:pPr>
      <w:bidi/>
    </w:pPr>
  </w:style>
  <w:style w:type="paragraph" w:styleId="Heading1">
    <w:name w:val="heading 1"/>
    <w:basedOn w:val="Normal"/>
    <w:next w:val="Normal"/>
    <w:link w:val="Heading1Char"/>
    <w:uiPriority w:val="9"/>
    <w:qFormat/>
    <w:rsid w:val="003D372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26D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ListParagraph"/>
    <w:next w:val="Normal"/>
    <w:link w:val="Heading3Char"/>
    <w:uiPriority w:val="9"/>
    <w:unhideWhenUsed/>
    <w:qFormat/>
    <w:rsid w:val="003D3725"/>
    <w:pPr>
      <w:numPr>
        <w:ilvl w:val="2"/>
        <w:numId w:val="3"/>
      </w:numPr>
      <w:outlineLvl w:val="2"/>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unhideWhenUsed/>
    <w:rsid w:val="00493E3C"/>
    <w:rPr>
      <w:caps w:val="0"/>
      <w:smallCaps w:val="0"/>
      <w:strike w:val="0"/>
      <w:dstrike w:val="0"/>
      <w:vanish w:val="0"/>
      <w:vertAlign w:val="superscript"/>
    </w:rPr>
  </w:style>
  <w:style w:type="paragraph" w:styleId="Header">
    <w:name w:val="header"/>
    <w:basedOn w:val="Normal"/>
    <w:link w:val="HeaderChar"/>
    <w:uiPriority w:val="99"/>
    <w:unhideWhenUsed/>
    <w:rsid w:val="00E7597B"/>
    <w:pPr>
      <w:tabs>
        <w:tab w:val="center" w:pos="4153"/>
        <w:tab w:val="right" w:pos="8306"/>
      </w:tabs>
      <w:spacing w:after="0" w:line="240" w:lineRule="auto"/>
    </w:pPr>
  </w:style>
  <w:style w:type="character" w:customStyle="1" w:styleId="HeaderChar">
    <w:name w:val="Header Char"/>
    <w:basedOn w:val="DefaultParagraphFont"/>
    <w:link w:val="Header"/>
    <w:uiPriority w:val="99"/>
    <w:rsid w:val="00E7597B"/>
    <w:rPr>
      <w:rFonts w:cs="David"/>
      <w:szCs w:val="24"/>
    </w:rPr>
  </w:style>
  <w:style w:type="paragraph" w:styleId="Footer">
    <w:name w:val="footer"/>
    <w:basedOn w:val="Normal"/>
    <w:link w:val="FooterChar"/>
    <w:uiPriority w:val="99"/>
    <w:unhideWhenUsed/>
    <w:rsid w:val="00E7597B"/>
    <w:pPr>
      <w:tabs>
        <w:tab w:val="center" w:pos="4153"/>
        <w:tab w:val="right" w:pos="8306"/>
      </w:tabs>
      <w:spacing w:after="0" w:line="240" w:lineRule="auto"/>
    </w:pPr>
  </w:style>
  <w:style w:type="character" w:customStyle="1" w:styleId="FooterChar">
    <w:name w:val="Footer Char"/>
    <w:basedOn w:val="DefaultParagraphFont"/>
    <w:link w:val="Footer"/>
    <w:uiPriority w:val="99"/>
    <w:rsid w:val="00E7597B"/>
    <w:rPr>
      <w:rFonts w:cs="David"/>
      <w:szCs w:val="24"/>
    </w:rPr>
  </w:style>
  <w:style w:type="paragraph" w:styleId="BalloonText">
    <w:name w:val="Balloon Text"/>
    <w:basedOn w:val="Normal"/>
    <w:link w:val="BalloonTextChar"/>
    <w:uiPriority w:val="99"/>
    <w:semiHidden/>
    <w:unhideWhenUsed/>
    <w:rsid w:val="00E759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7B"/>
    <w:rPr>
      <w:rFonts w:ascii="Tahoma" w:hAnsi="Tahoma" w:cs="Tahoma"/>
      <w:sz w:val="16"/>
      <w:szCs w:val="16"/>
    </w:rPr>
  </w:style>
  <w:style w:type="paragraph" w:styleId="ListParagraph">
    <w:name w:val="List Paragraph"/>
    <w:basedOn w:val="Normal"/>
    <w:uiPriority w:val="34"/>
    <w:qFormat/>
    <w:rsid w:val="00E7597B"/>
    <w:pPr>
      <w:ind w:left="720"/>
      <w:contextualSpacing/>
    </w:pPr>
  </w:style>
  <w:style w:type="paragraph" w:customStyle="1" w:styleId="p00">
    <w:name w:val="p00"/>
    <w:basedOn w:val="Normal"/>
    <w:rsid w:val="00685C96"/>
    <w:pPr>
      <w:bidi w:val="0"/>
      <w:spacing w:before="100" w:beforeAutospacing="1" w:after="100" w:afterAutospacing="1" w:line="240" w:lineRule="auto"/>
    </w:pPr>
    <w:rPr>
      <w:rFonts w:ascii="Times New Roman" w:eastAsia="Times New Roman" w:hAnsi="Times New Roman" w:cs="Times New Roman"/>
    </w:rPr>
  </w:style>
  <w:style w:type="character" w:customStyle="1" w:styleId="big-number">
    <w:name w:val="big-number"/>
    <w:basedOn w:val="DefaultParagraphFont"/>
    <w:rsid w:val="00685C96"/>
  </w:style>
  <w:style w:type="character" w:customStyle="1" w:styleId="apple-converted-space">
    <w:name w:val="apple-converted-space"/>
    <w:basedOn w:val="DefaultParagraphFont"/>
    <w:rsid w:val="00685C96"/>
  </w:style>
  <w:style w:type="character" w:customStyle="1" w:styleId="default">
    <w:name w:val="default"/>
    <w:basedOn w:val="DefaultParagraphFont"/>
    <w:rsid w:val="00685C96"/>
  </w:style>
  <w:style w:type="paragraph" w:customStyle="1" w:styleId="p22">
    <w:name w:val="p22"/>
    <w:basedOn w:val="Normal"/>
    <w:rsid w:val="00685C96"/>
    <w:pPr>
      <w:bidi w:val="0"/>
      <w:spacing w:before="100" w:beforeAutospacing="1" w:after="100" w:afterAutospacing="1" w:line="240" w:lineRule="auto"/>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6D29D6"/>
    <w:rPr>
      <w:sz w:val="16"/>
      <w:szCs w:val="16"/>
    </w:rPr>
  </w:style>
  <w:style w:type="paragraph" w:styleId="CommentText">
    <w:name w:val="annotation text"/>
    <w:basedOn w:val="Normal"/>
    <w:link w:val="CommentTextChar"/>
    <w:uiPriority w:val="99"/>
    <w:unhideWhenUsed/>
    <w:rsid w:val="006D29D6"/>
    <w:pPr>
      <w:spacing w:line="240" w:lineRule="auto"/>
    </w:pPr>
    <w:rPr>
      <w:sz w:val="20"/>
      <w:szCs w:val="20"/>
    </w:rPr>
  </w:style>
  <w:style w:type="character" w:customStyle="1" w:styleId="CommentTextChar">
    <w:name w:val="Comment Text Char"/>
    <w:basedOn w:val="DefaultParagraphFont"/>
    <w:link w:val="CommentText"/>
    <w:uiPriority w:val="99"/>
    <w:rsid w:val="006D29D6"/>
    <w:rPr>
      <w:sz w:val="20"/>
      <w:szCs w:val="20"/>
    </w:rPr>
  </w:style>
  <w:style w:type="paragraph" w:styleId="CommentSubject">
    <w:name w:val="annotation subject"/>
    <w:basedOn w:val="CommentText"/>
    <w:next w:val="CommentText"/>
    <w:link w:val="CommentSubjectChar"/>
    <w:uiPriority w:val="99"/>
    <w:semiHidden/>
    <w:unhideWhenUsed/>
    <w:rsid w:val="006D29D6"/>
    <w:rPr>
      <w:b/>
      <w:bCs/>
    </w:rPr>
  </w:style>
  <w:style w:type="character" w:customStyle="1" w:styleId="CommentSubjectChar">
    <w:name w:val="Comment Subject Char"/>
    <w:basedOn w:val="CommentTextChar"/>
    <w:link w:val="CommentSubject"/>
    <w:uiPriority w:val="99"/>
    <w:semiHidden/>
    <w:rsid w:val="006D29D6"/>
    <w:rPr>
      <w:b/>
      <w:bCs/>
      <w:sz w:val="20"/>
      <w:szCs w:val="20"/>
    </w:rPr>
  </w:style>
  <w:style w:type="paragraph" w:styleId="FootnoteText">
    <w:name w:val="footnote text"/>
    <w:basedOn w:val="Normal"/>
    <w:link w:val="FootnoteTextChar"/>
    <w:uiPriority w:val="99"/>
    <w:unhideWhenUsed/>
    <w:rsid w:val="003D42CC"/>
    <w:pPr>
      <w:spacing w:after="0" w:line="240" w:lineRule="auto"/>
      <w:jc w:val="both"/>
    </w:pPr>
    <w:rPr>
      <w:sz w:val="20"/>
      <w:szCs w:val="20"/>
    </w:rPr>
  </w:style>
  <w:style w:type="character" w:customStyle="1" w:styleId="FootnoteTextChar">
    <w:name w:val="Footnote Text Char"/>
    <w:basedOn w:val="DefaultParagraphFont"/>
    <w:link w:val="FootnoteText"/>
    <w:uiPriority w:val="99"/>
    <w:rsid w:val="003D42CC"/>
    <w:rPr>
      <w:sz w:val="20"/>
      <w:szCs w:val="20"/>
    </w:rPr>
  </w:style>
  <w:style w:type="character" w:customStyle="1" w:styleId="Heading1Char">
    <w:name w:val="Heading 1 Char"/>
    <w:basedOn w:val="DefaultParagraphFont"/>
    <w:link w:val="Heading1"/>
    <w:uiPriority w:val="9"/>
    <w:rsid w:val="003D3725"/>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3D3725"/>
    <w:rPr>
      <w:rFonts w:cs="David"/>
      <w:b/>
      <w:u w:val="single"/>
    </w:rPr>
  </w:style>
  <w:style w:type="paragraph" w:styleId="EndnoteText">
    <w:name w:val="endnote text"/>
    <w:basedOn w:val="Normal"/>
    <w:link w:val="EndnoteTextChar"/>
    <w:uiPriority w:val="99"/>
    <w:semiHidden/>
    <w:unhideWhenUsed/>
    <w:rsid w:val="00B1173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173C"/>
    <w:rPr>
      <w:sz w:val="20"/>
      <w:szCs w:val="20"/>
    </w:rPr>
  </w:style>
  <w:style w:type="character" w:styleId="EndnoteReference">
    <w:name w:val="endnote reference"/>
    <w:basedOn w:val="DefaultParagraphFont"/>
    <w:uiPriority w:val="99"/>
    <w:semiHidden/>
    <w:unhideWhenUsed/>
    <w:rsid w:val="00B1173C"/>
    <w:rPr>
      <w:vertAlign w:val="superscript"/>
    </w:rPr>
  </w:style>
  <w:style w:type="paragraph" w:styleId="Revision">
    <w:name w:val="Revision"/>
    <w:hidden/>
    <w:uiPriority w:val="99"/>
    <w:semiHidden/>
    <w:rsid w:val="00F61EC6"/>
    <w:pPr>
      <w:spacing w:after="0" w:line="240" w:lineRule="auto"/>
    </w:pPr>
  </w:style>
  <w:style w:type="paragraph" w:styleId="NormalWeb">
    <w:name w:val="Normal (Web)"/>
    <w:basedOn w:val="Normal"/>
    <w:uiPriority w:val="99"/>
    <w:unhideWhenUsed/>
    <w:rsid w:val="00D13D9C"/>
    <w:pPr>
      <w:bidi w:val="0"/>
      <w:spacing w:after="0" w:line="240" w:lineRule="auto"/>
    </w:pPr>
    <w:rPr>
      <w:rFonts w:ascii="Times New Roman" w:hAnsi="Times New Roman" w:cs="Times New Roman"/>
    </w:rPr>
  </w:style>
  <w:style w:type="character" w:styleId="Hyperlink">
    <w:name w:val="Hyperlink"/>
    <w:basedOn w:val="DefaultParagraphFont"/>
    <w:uiPriority w:val="99"/>
    <w:unhideWhenUsed/>
    <w:rsid w:val="00A92A3C"/>
    <w:rPr>
      <w:color w:val="0000FF" w:themeColor="hyperlink"/>
      <w:u w:val="single"/>
    </w:rPr>
  </w:style>
  <w:style w:type="character" w:styleId="FollowedHyperlink">
    <w:name w:val="FollowedHyperlink"/>
    <w:basedOn w:val="DefaultParagraphFont"/>
    <w:uiPriority w:val="99"/>
    <w:semiHidden/>
    <w:unhideWhenUsed/>
    <w:rsid w:val="00A92A3C"/>
    <w:rPr>
      <w:color w:val="800080" w:themeColor="followedHyperlink"/>
      <w:u w:val="single"/>
    </w:rPr>
  </w:style>
  <w:style w:type="paragraph" w:styleId="Title">
    <w:name w:val="Title"/>
    <w:basedOn w:val="Normal"/>
    <w:next w:val="Normal"/>
    <w:link w:val="TitleChar"/>
    <w:uiPriority w:val="10"/>
    <w:qFormat/>
    <w:rsid w:val="00C26D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DF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26DF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007496">
      <w:bodyDiv w:val="1"/>
      <w:marLeft w:val="0"/>
      <w:marRight w:val="0"/>
      <w:marTop w:val="0"/>
      <w:marBottom w:val="0"/>
      <w:divBdr>
        <w:top w:val="none" w:sz="0" w:space="0" w:color="auto"/>
        <w:left w:val="none" w:sz="0" w:space="0" w:color="auto"/>
        <w:bottom w:val="none" w:sz="0" w:space="0" w:color="auto"/>
        <w:right w:val="none" w:sz="0" w:space="0" w:color="auto"/>
      </w:divBdr>
    </w:div>
    <w:div w:id="307711816">
      <w:bodyDiv w:val="1"/>
      <w:marLeft w:val="0"/>
      <w:marRight w:val="0"/>
      <w:marTop w:val="0"/>
      <w:marBottom w:val="0"/>
      <w:divBdr>
        <w:top w:val="none" w:sz="0" w:space="0" w:color="auto"/>
        <w:left w:val="none" w:sz="0" w:space="0" w:color="auto"/>
        <w:bottom w:val="none" w:sz="0" w:space="0" w:color="auto"/>
        <w:right w:val="none" w:sz="0" w:space="0" w:color="auto"/>
      </w:divBdr>
    </w:div>
    <w:div w:id="361712857">
      <w:bodyDiv w:val="1"/>
      <w:marLeft w:val="0"/>
      <w:marRight w:val="0"/>
      <w:marTop w:val="0"/>
      <w:marBottom w:val="0"/>
      <w:divBdr>
        <w:top w:val="none" w:sz="0" w:space="0" w:color="auto"/>
        <w:left w:val="none" w:sz="0" w:space="0" w:color="auto"/>
        <w:bottom w:val="none" w:sz="0" w:space="0" w:color="auto"/>
        <w:right w:val="none" w:sz="0" w:space="0" w:color="auto"/>
      </w:divBdr>
    </w:div>
    <w:div w:id="496186918">
      <w:bodyDiv w:val="1"/>
      <w:marLeft w:val="0"/>
      <w:marRight w:val="0"/>
      <w:marTop w:val="0"/>
      <w:marBottom w:val="0"/>
      <w:divBdr>
        <w:top w:val="none" w:sz="0" w:space="0" w:color="auto"/>
        <w:left w:val="none" w:sz="0" w:space="0" w:color="auto"/>
        <w:bottom w:val="none" w:sz="0" w:space="0" w:color="auto"/>
        <w:right w:val="none" w:sz="0" w:space="0" w:color="auto"/>
      </w:divBdr>
    </w:div>
    <w:div w:id="829249423">
      <w:bodyDiv w:val="1"/>
      <w:marLeft w:val="0"/>
      <w:marRight w:val="0"/>
      <w:marTop w:val="0"/>
      <w:marBottom w:val="0"/>
      <w:divBdr>
        <w:top w:val="none" w:sz="0" w:space="0" w:color="auto"/>
        <w:left w:val="none" w:sz="0" w:space="0" w:color="auto"/>
        <w:bottom w:val="none" w:sz="0" w:space="0" w:color="auto"/>
        <w:right w:val="none" w:sz="0" w:space="0" w:color="auto"/>
      </w:divBdr>
    </w:div>
    <w:div w:id="869613986">
      <w:bodyDiv w:val="1"/>
      <w:marLeft w:val="0"/>
      <w:marRight w:val="0"/>
      <w:marTop w:val="0"/>
      <w:marBottom w:val="0"/>
      <w:divBdr>
        <w:top w:val="none" w:sz="0" w:space="0" w:color="auto"/>
        <w:left w:val="none" w:sz="0" w:space="0" w:color="auto"/>
        <w:bottom w:val="none" w:sz="0" w:space="0" w:color="auto"/>
        <w:right w:val="none" w:sz="0" w:space="0" w:color="auto"/>
      </w:divBdr>
    </w:div>
    <w:div w:id="888419151">
      <w:bodyDiv w:val="1"/>
      <w:marLeft w:val="0"/>
      <w:marRight w:val="0"/>
      <w:marTop w:val="0"/>
      <w:marBottom w:val="0"/>
      <w:divBdr>
        <w:top w:val="none" w:sz="0" w:space="0" w:color="auto"/>
        <w:left w:val="none" w:sz="0" w:space="0" w:color="auto"/>
        <w:bottom w:val="none" w:sz="0" w:space="0" w:color="auto"/>
        <w:right w:val="none" w:sz="0" w:space="0" w:color="auto"/>
      </w:divBdr>
    </w:div>
    <w:div w:id="947201616">
      <w:bodyDiv w:val="1"/>
      <w:marLeft w:val="0"/>
      <w:marRight w:val="0"/>
      <w:marTop w:val="0"/>
      <w:marBottom w:val="0"/>
      <w:divBdr>
        <w:top w:val="none" w:sz="0" w:space="0" w:color="auto"/>
        <w:left w:val="none" w:sz="0" w:space="0" w:color="auto"/>
        <w:bottom w:val="none" w:sz="0" w:space="0" w:color="auto"/>
        <w:right w:val="none" w:sz="0" w:space="0" w:color="auto"/>
      </w:divBdr>
    </w:div>
    <w:div w:id="989599323">
      <w:bodyDiv w:val="1"/>
      <w:marLeft w:val="0"/>
      <w:marRight w:val="0"/>
      <w:marTop w:val="0"/>
      <w:marBottom w:val="0"/>
      <w:divBdr>
        <w:top w:val="none" w:sz="0" w:space="0" w:color="auto"/>
        <w:left w:val="none" w:sz="0" w:space="0" w:color="auto"/>
        <w:bottom w:val="none" w:sz="0" w:space="0" w:color="auto"/>
        <w:right w:val="none" w:sz="0" w:space="0" w:color="auto"/>
      </w:divBdr>
    </w:div>
    <w:div w:id="1012880841">
      <w:bodyDiv w:val="1"/>
      <w:marLeft w:val="0"/>
      <w:marRight w:val="0"/>
      <w:marTop w:val="0"/>
      <w:marBottom w:val="0"/>
      <w:divBdr>
        <w:top w:val="none" w:sz="0" w:space="0" w:color="auto"/>
        <w:left w:val="none" w:sz="0" w:space="0" w:color="auto"/>
        <w:bottom w:val="none" w:sz="0" w:space="0" w:color="auto"/>
        <w:right w:val="none" w:sz="0" w:space="0" w:color="auto"/>
      </w:divBdr>
    </w:div>
    <w:div w:id="1230000046">
      <w:bodyDiv w:val="1"/>
      <w:marLeft w:val="0"/>
      <w:marRight w:val="0"/>
      <w:marTop w:val="0"/>
      <w:marBottom w:val="0"/>
      <w:divBdr>
        <w:top w:val="none" w:sz="0" w:space="0" w:color="auto"/>
        <w:left w:val="none" w:sz="0" w:space="0" w:color="auto"/>
        <w:bottom w:val="none" w:sz="0" w:space="0" w:color="auto"/>
        <w:right w:val="none" w:sz="0" w:space="0" w:color="auto"/>
      </w:divBdr>
    </w:div>
    <w:div w:id="1358968965">
      <w:bodyDiv w:val="1"/>
      <w:marLeft w:val="0"/>
      <w:marRight w:val="0"/>
      <w:marTop w:val="0"/>
      <w:marBottom w:val="0"/>
      <w:divBdr>
        <w:top w:val="none" w:sz="0" w:space="0" w:color="auto"/>
        <w:left w:val="none" w:sz="0" w:space="0" w:color="auto"/>
        <w:bottom w:val="none" w:sz="0" w:space="0" w:color="auto"/>
        <w:right w:val="none" w:sz="0" w:space="0" w:color="auto"/>
      </w:divBdr>
    </w:div>
    <w:div w:id="1448507089">
      <w:bodyDiv w:val="1"/>
      <w:marLeft w:val="0"/>
      <w:marRight w:val="0"/>
      <w:marTop w:val="0"/>
      <w:marBottom w:val="0"/>
      <w:divBdr>
        <w:top w:val="none" w:sz="0" w:space="0" w:color="auto"/>
        <w:left w:val="none" w:sz="0" w:space="0" w:color="auto"/>
        <w:bottom w:val="none" w:sz="0" w:space="0" w:color="auto"/>
        <w:right w:val="none" w:sz="0" w:space="0" w:color="auto"/>
      </w:divBdr>
    </w:div>
    <w:div w:id="1639340547">
      <w:bodyDiv w:val="1"/>
      <w:marLeft w:val="0"/>
      <w:marRight w:val="0"/>
      <w:marTop w:val="0"/>
      <w:marBottom w:val="0"/>
      <w:divBdr>
        <w:top w:val="none" w:sz="0" w:space="0" w:color="auto"/>
        <w:left w:val="none" w:sz="0" w:space="0" w:color="auto"/>
        <w:bottom w:val="none" w:sz="0" w:space="0" w:color="auto"/>
        <w:right w:val="none" w:sz="0" w:space="0" w:color="auto"/>
      </w:divBdr>
    </w:div>
    <w:div w:id="1656297108">
      <w:bodyDiv w:val="1"/>
      <w:marLeft w:val="0"/>
      <w:marRight w:val="0"/>
      <w:marTop w:val="0"/>
      <w:marBottom w:val="0"/>
      <w:divBdr>
        <w:top w:val="none" w:sz="0" w:space="0" w:color="auto"/>
        <w:left w:val="none" w:sz="0" w:space="0" w:color="auto"/>
        <w:bottom w:val="none" w:sz="0" w:space="0" w:color="auto"/>
        <w:right w:val="none" w:sz="0" w:space="0" w:color="auto"/>
      </w:divBdr>
    </w:div>
    <w:div w:id="1767922886">
      <w:bodyDiv w:val="1"/>
      <w:marLeft w:val="0"/>
      <w:marRight w:val="0"/>
      <w:marTop w:val="0"/>
      <w:marBottom w:val="0"/>
      <w:divBdr>
        <w:top w:val="none" w:sz="0" w:space="0" w:color="auto"/>
        <w:left w:val="none" w:sz="0" w:space="0" w:color="auto"/>
        <w:bottom w:val="none" w:sz="0" w:space="0" w:color="auto"/>
        <w:right w:val="none" w:sz="0" w:space="0" w:color="auto"/>
      </w:divBdr>
    </w:div>
    <w:div w:id="209049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oecd.org/daf/competition/43835526.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C8842-9398-45B6-8773-2CC9873E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4920</Words>
  <Characters>24605</Characters>
  <Application>Microsoft Office Word</Application>
  <DocSecurity>0</DocSecurity>
  <Lines>205</Lines>
  <Paragraphs>58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Tobie Harris</dc:creator>
  <cp:lastModifiedBy>Melita Shafir</cp:lastModifiedBy>
  <cp:revision>3</cp:revision>
  <cp:lastPrinted>2017-06-27T06:30:00Z</cp:lastPrinted>
  <dcterms:created xsi:type="dcterms:W3CDTF">2017-06-28T08:44:00Z</dcterms:created>
  <dcterms:modified xsi:type="dcterms:W3CDTF">2018-12-25T11:17:00Z</dcterms:modified>
</cp:coreProperties>
</file>